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74" w:name="_GoBack"/>
      <w:bookmarkEnd w:id="74"/>
      <w:bookmarkStart w:id="0" w:name="_Toc145851195"/>
      <w:bookmarkStart w:id="1" w:name="_Toc150831600"/>
      <w:bookmarkStart w:id="2" w:name="_Toc145851203"/>
      <w:bookmarkStart w:id="3" w:name="_Toc241902311"/>
      <w:bookmarkStart w:id="4" w:name="_Toc289179269"/>
      <w:bookmarkStart w:id="5" w:name="_Toc165884969"/>
      <w:r>
        <w:drawing>
          <wp:inline distT="0" distB="0" distL="0" distR="0">
            <wp:extent cx="2383790" cy="1784985"/>
            <wp:effectExtent l="0" t="0" r="0" b="0"/>
            <wp:docPr id="1" name="Рисунок 1" descr="Image result for Ð³ÐµÑÐ± Ð³Ð¾ÑÐ¾Ð´ÑÐºÐ¾Ð³Ð¾ Ð¿Ð¾ÑÐµÐ»ÐµÐ½Ð¸Ñ Ð¾Ð´Ð¸Ð½ÑÐ¾Ð²Ð¾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mage result for Ð³ÐµÑÐ± Ð³Ð¾ÑÐ¾Ð´ÑÐºÐ¾Ð³Ð¾ Ð¿Ð¾ÑÐµÐ»ÐµÐ½Ð¸Ñ Ð¾Ð´Ð¸Ð½ÑÐ¾Ð²Ð¾ ÑÐ¾ÑÐ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4900" cy="1786088"/>
                    </a:xfrm>
                    <a:prstGeom prst="rect">
                      <a:avLst/>
                    </a:prstGeom>
                    <a:noFill/>
                    <a:ln>
                      <a:noFill/>
                    </a:ln>
                  </pic:spPr>
                </pic:pic>
              </a:graphicData>
            </a:graphic>
          </wp:inline>
        </w:drawing>
      </w:r>
      <w:r>
        <w:rPr/>
        <w:br w:type="textWrapping" w:clear="all"/>
      </w:r>
    </w:p>
    <w:p>
      <w:pPr>
        <w:jc w:val="center"/>
        <w:rPr>
          <w:sz w:val="28"/>
          <w:szCs w:val="28"/>
        </w:rPr>
      </w:pPr>
      <w:r>
        <w:rPr>
          <w:sz w:val="28"/>
          <w:szCs w:val="28"/>
        </w:rPr>
        <w:t xml:space="preserve">Территориальное управление Одинцово </w:t>
      </w:r>
    </w:p>
    <w:p>
      <w:pPr>
        <w:jc w:val="center"/>
        <w:rPr>
          <w:sz w:val="28"/>
          <w:szCs w:val="28"/>
        </w:rPr>
      </w:pPr>
      <w:r>
        <w:rPr>
          <w:sz w:val="28"/>
          <w:szCs w:val="28"/>
        </w:rPr>
        <w:t>Одинцовского городского округа</w:t>
      </w:r>
    </w:p>
    <w:p/>
    <w:p>
      <w:pPr>
        <w:tabs>
          <w:tab w:val="left" w:pos="5892"/>
        </w:tabs>
      </w:pPr>
      <w:r>
        <w:tab/>
      </w:r>
    </w:p>
    <w:p>
      <w:pPr>
        <w:tabs>
          <w:tab w:val="left" w:pos="5892"/>
        </w:tabs>
      </w:pPr>
    </w:p>
    <w:p>
      <w:pPr>
        <w:tabs>
          <w:tab w:val="left" w:pos="6315"/>
        </w:tabs>
      </w:pPr>
    </w:p>
    <w:p>
      <w:pPr>
        <w:tabs>
          <w:tab w:val="left" w:pos="6315"/>
        </w:tabs>
        <w:spacing w:line="360" w:lineRule="auto"/>
        <w:jc w:val="center"/>
        <w:rPr>
          <w:b/>
          <w:color w:val="000000"/>
          <w:sz w:val="36"/>
          <w:szCs w:val="36"/>
        </w:rPr>
      </w:pPr>
      <w:r>
        <w:rPr>
          <w:b/>
          <w:color w:val="000000"/>
          <w:sz w:val="36"/>
          <w:szCs w:val="36"/>
        </w:rPr>
        <w:t xml:space="preserve">Программа комплексного развития </w:t>
      </w:r>
    </w:p>
    <w:p>
      <w:pPr>
        <w:tabs>
          <w:tab w:val="left" w:pos="6315"/>
        </w:tabs>
        <w:spacing w:line="360" w:lineRule="auto"/>
        <w:jc w:val="center"/>
        <w:rPr>
          <w:b/>
          <w:color w:val="000000"/>
          <w:sz w:val="36"/>
          <w:szCs w:val="36"/>
        </w:rPr>
      </w:pPr>
      <w:r>
        <w:rPr>
          <w:b/>
          <w:color w:val="000000"/>
          <w:sz w:val="36"/>
          <w:szCs w:val="36"/>
        </w:rPr>
        <w:t xml:space="preserve">систем коммунальной инфраструктуры </w:t>
      </w:r>
    </w:p>
    <w:p>
      <w:pPr>
        <w:tabs>
          <w:tab w:val="left" w:pos="6315"/>
        </w:tabs>
        <w:spacing w:line="360" w:lineRule="auto"/>
        <w:jc w:val="center"/>
        <w:rPr>
          <w:b/>
          <w:color w:val="000000"/>
          <w:sz w:val="36"/>
          <w:szCs w:val="36"/>
        </w:rPr>
      </w:pPr>
      <w:r>
        <w:rPr>
          <w:b/>
          <w:color w:val="000000"/>
          <w:sz w:val="36"/>
          <w:szCs w:val="36"/>
        </w:rPr>
        <w:t xml:space="preserve">территориального управления Одинцово </w:t>
      </w:r>
    </w:p>
    <w:p>
      <w:pPr>
        <w:tabs>
          <w:tab w:val="left" w:pos="6315"/>
        </w:tabs>
        <w:spacing w:line="360" w:lineRule="auto"/>
        <w:jc w:val="center"/>
        <w:rPr>
          <w:b/>
          <w:color w:val="000000"/>
          <w:sz w:val="36"/>
          <w:szCs w:val="36"/>
        </w:rPr>
      </w:pPr>
      <w:r>
        <w:rPr>
          <w:b/>
          <w:color w:val="000000"/>
          <w:sz w:val="36"/>
          <w:szCs w:val="36"/>
        </w:rPr>
        <w:t>Одинцовского городского округа Московской области до 2029 года</w:t>
      </w:r>
    </w:p>
    <w:p>
      <w:pPr>
        <w:tabs>
          <w:tab w:val="left" w:pos="6315"/>
        </w:tabs>
        <w:spacing w:line="360" w:lineRule="auto"/>
        <w:jc w:val="center"/>
        <w:rPr>
          <w:sz w:val="40"/>
          <w:szCs w:val="40"/>
        </w:rPr>
      </w:pPr>
      <w:r>
        <w:rPr>
          <w:b/>
          <w:color w:val="000000"/>
          <w:sz w:val="40"/>
          <w:szCs w:val="40"/>
        </w:rPr>
        <w:t xml:space="preserve">Том 1. Утверждаемая часть. </w:t>
      </w:r>
    </w:p>
    <w:p>
      <w:pPr>
        <w:tabs>
          <w:tab w:val="left" w:pos="6315"/>
        </w:tabs>
        <w:jc w:val="center"/>
        <w:rPr>
          <w:sz w:val="36"/>
          <w:szCs w:val="36"/>
        </w:rPr>
      </w:pPr>
    </w:p>
    <w:p>
      <w:pPr>
        <w:tabs>
          <w:tab w:val="left" w:pos="6315"/>
        </w:tabs>
        <w:jc w:val="center"/>
        <w:rPr>
          <w:sz w:val="28"/>
          <w:szCs w:val="28"/>
        </w:rPr>
      </w:pPr>
      <w:r>
        <w:rPr>
          <w:sz w:val="28"/>
          <w:szCs w:val="28"/>
        </w:rPr>
        <w:t xml:space="preserve">  </w:t>
      </w:r>
    </w:p>
    <w:p>
      <w:pPr>
        <w:tabs>
          <w:tab w:val="left" w:pos="6315"/>
        </w:tabs>
        <w:rPr>
          <w:sz w:val="28"/>
          <w:szCs w:val="28"/>
        </w:rPr>
      </w:pPr>
    </w:p>
    <w:p>
      <w:pPr>
        <w:tabs>
          <w:tab w:val="left" w:pos="6315"/>
        </w:tabs>
        <w:rPr>
          <w:sz w:val="28"/>
          <w:szCs w:val="28"/>
        </w:rPr>
      </w:pPr>
      <w:r>
        <w:rPr>
          <w:sz w:val="28"/>
          <w:szCs w:val="28"/>
        </w:rPr>
        <w:t>Разработчик: Общество с ограниченной ответственностью «ЦТЭС»</w:t>
      </w:r>
    </w:p>
    <w:p>
      <w:pPr>
        <w:tabs>
          <w:tab w:val="left" w:pos="6315"/>
        </w:tabs>
        <w:rPr>
          <w:sz w:val="28"/>
          <w:szCs w:val="28"/>
        </w:rPr>
      </w:pPr>
      <w:r>
        <w:rPr>
          <w:sz w:val="28"/>
          <w:szCs w:val="28"/>
        </w:rPr>
        <w:t>107078, г. Москва, ул. Новая Басманная, д. 19/1, офис 521</w:t>
      </w:r>
    </w:p>
    <w:p>
      <w:pPr>
        <w:tabs>
          <w:tab w:val="left" w:pos="6315"/>
        </w:tabs>
        <w:rPr>
          <w:sz w:val="28"/>
          <w:szCs w:val="28"/>
        </w:rPr>
      </w:pPr>
    </w:p>
    <w:p>
      <w:pPr>
        <w:tabs>
          <w:tab w:val="left" w:pos="6315"/>
        </w:tabs>
        <w:rPr>
          <w:sz w:val="28"/>
          <w:szCs w:val="28"/>
        </w:rPr>
      </w:pPr>
    </w:p>
    <w:p>
      <w:pPr>
        <w:tabs>
          <w:tab w:val="left" w:pos="6315"/>
        </w:tabs>
        <w:rPr>
          <w:sz w:val="28"/>
          <w:szCs w:val="28"/>
        </w:rPr>
      </w:pPr>
      <w:r>
        <w:rPr>
          <w:sz w:val="28"/>
          <w:szCs w:val="28"/>
        </w:rPr>
        <w:t>Генеральный директор                                                              А. Х. Регинский</w:t>
      </w:r>
    </w:p>
    <w:p>
      <w:pPr>
        <w:tabs>
          <w:tab w:val="left" w:pos="6315"/>
        </w:tabs>
        <w:jc w:val="center"/>
        <w:rPr>
          <w:sz w:val="20"/>
          <w:szCs w:val="20"/>
        </w:rPr>
      </w:pPr>
      <w:r>
        <w:rPr>
          <w:sz w:val="20"/>
          <w:szCs w:val="20"/>
        </w:rPr>
        <w:t xml:space="preserve">                                                             подпись</w:t>
      </w:r>
    </w:p>
    <w:p>
      <w:pPr>
        <w:tabs>
          <w:tab w:val="left" w:pos="6315"/>
        </w:tabs>
        <w:rPr>
          <w:sz w:val="28"/>
          <w:szCs w:val="28"/>
        </w:rPr>
      </w:pPr>
      <w:r>
        <w:rPr>
          <w:sz w:val="28"/>
          <w:szCs w:val="28"/>
        </w:rPr>
        <w:t xml:space="preserve"> </w:t>
      </w:r>
    </w:p>
    <w:p>
      <w:pPr>
        <w:tabs>
          <w:tab w:val="left" w:pos="6315"/>
        </w:tabs>
        <w:jc w:val="center"/>
        <w:rPr>
          <w:sz w:val="28"/>
          <w:szCs w:val="28"/>
        </w:rPr>
      </w:pPr>
    </w:p>
    <w:p>
      <w:pPr>
        <w:tabs>
          <w:tab w:val="left" w:pos="6315"/>
        </w:tabs>
        <w:jc w:val="center"/>
      </w:pPr>
    </w:p>
    <w:p>
      <w:pPr>
        <w:tabs>
          <w:tab w:val="left" w:pos="6315"/>
        </w:tabs>
        <w:jc w:val="center"/>
      </w:pPr>
    </w:p>
    <w:p>
      <w:pPr>
        <w:tabs>
          <w:tab w:val="left" w:pos="6315"/>
        </w:tabs>
        <w:jc w:val="center"/>
      </w:pPr>
      <w:r>
        <w:t>2019 г.</w:t>
      </w:r>
    </w:p>
    <w:p>
      <w:pPr>
        <w:tabs>
          <w:tab w:val="left" w:pos="6315"/>
        </w:tabs>
        <w:jc w:val="center"/>
      </w:pPr>
      <w:r>
        <w:t>Москва</w:t>
      </w:r>
    </w:p>
    <w:p>
      <w:pPr>
        <w:spacing w:after="200" w:line="276" w:lineRule="auto"/>
        <w:jc w:val="center"/>
        <w:rPr>
          <w:b/>
          <w:color w:val="000000"/>
          <w:sz w:val="34"/>
          <w:szCs w:val="34"/>
        </w:rPr>
        <w:sectPr>
          <w:headerReference r:id="rId5" w:type="first"/>
          <w:footerReference r:id="rId7" w:type="first"/>
          <w:headerReference r:id="rId4" w:type="default"/>
          <w:footerReference r:id="rId6" w:type="default"/>
          <w:pgSz w:w="11906" w:h="16838"/>
          <w:pgMar w:top="1134" w:right="1134" w:bottom="1134" w:left="1701" w:header="709" w:footer="709" w:gutter="0"/>
          <w:cols w:space="708" w:num="1"/>
          <w:titlePg/>
          <w:docGrid w:linePitch="360" w:charSpace="0"/>
        </w:sectPr>
      </w:pPr>
    </w:p>
    <w:p>
      <w:pPr>
        <w:spacing w:after="200" w:line="276" w:lineRule="auto"/>
        <w:jc w:val="center"/>
        <w:rPr>
          <w:b/>
          <w:color w:val="000000"/>
          <w:sz w:val="30"/>
          <w:szCs w:val="30"/>
        </w:rPr>
      </w:pPr>
      <w:r>
        <w:rPr>
          <w:b/>
          <w:color w:val="000000"/>
          <w:sz w:val="30"/>
          <w:szCs w:val="30"/>
        </w:rPr>
        <w:t>ОГЛАВЛЕНИЕ</w:t>
      </w:r>
    </w:p>
    <w:p>
      <w:pPr>
        <w:pStyle w:val="47"/>
        <w:rPr>
          <w:rFonts w:asciiTheme="minorHAnsi" w:hAnsiTheme="minorHAnsi" w:eastAsiaTheme="minorEastAsia" w:cstheme="minorBidi"/>
          <w:b w:val="0"/>
          <w:caps w:val="0"/>
          <w:spacing w:val="0"/>
          <w:sz w:val="22"/>
          <w:szCs w:val="22"/>
        </w:rPr>
      </w:pPr>
      <w:r>
        <w:rPr>
          <w:rFonts w:ascii="Times New Roman" w:hAnsi="Times New Roman"/>
          <w:color w:val="000000"/>
        </w:rPr>
        <w:fldChar w:fldCharType="begin"/>
      </w:r>
      <w:r>
        <w:rPr>
          <w:rFonts w:ascii="Times New Roman" w:hAnsi="Times New Roman"/>
          <w:color w:val="000000"/>
        </w:rPr>
        <w:instrText xml:space="preserve"> TOC \o "1-3" \h \z \u </w:instrText>
      </w:r>
      <w:r>
        <w:rPr>
          <w:rFonts w:ascii="Times New Roman" w:hAnsi="Times New Roman"/>
          <w:color w:val="000000"/>
        </w:rPr>
        <w:fldChar w:fldCharType="separate"/>
      </w:r>
      <w:r>
        <w:fldChar w:fldCharType="begin"/>
      </w:r>
      <w:r>
        <w:instrText xml:space="preserve"> HYPERLINK \l "_Toc21015026" </w:instrText>
      </w:r>
      <w:r>
        <w:fldChar w:fldCharType="separate"/>
      </w:r>
      <w:r>
        <w:rPr>
          <w:rStyle w:val="95"/>
        </w:rPr>
        <w:t>1.</w:t>
      </w:r>
      <w:r>
        <w:rPr>
          <w:rFonts w:asciiTheme="minorHAnsi" w:hAnsiTheme="minorHAnsi" w:eastAsiaTheme="minorEastAsia" w:cstheme="minorBidi"/>
          <w:b w:val="0"/>
          <w:caps w:val="0"/>
          <w:spacing w:val="0"/>
          <w:sz w:val="22"/>
          <w:szCs w:val="22"/>
        </w:rPr>
        <w:tab/>
      </w:r>
      <w:r>
        <w:rPr>
          <w:rStyle w:val="95"/>
          <w:rFonts w:ascii="Times New Roman" w:hAnsi="Times New Roman"/>
        </w:rPr>
        <w:t>ПАСПОРТ ПРОГРАММЫ</w:t>
      </w:r>
      <w:r>
        <w:tab/>
      </w:r>
      <w:r>
        <w:fldChar w:fldCharType="begin"/>
      </w:r>
      <w:r>
        <w:instrText xml:space="preserve"> PAGEREF _Toc21015026 \h </w:instrText>
      </w:r>
      <w:r>
        <w:fldChar w:fldCharType="separate"/>
      </w:r>
      <w:r>
        <w:t>4</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"_Toc21015027" </w:instrText>
      </w:r>
      <w:r>
        <w:fldChar w:fldCharType="separate"/>
      </w:r>
      <w:r>
        <w:rPr>
          <w:rStyle w:val="95"/>
        </w:rPr>
        <w:t>2.</w:t>
      </w:r>
      <w:r>
        <w:rPr>
          <w:rFonts w:asciiTheme="minorHAnsi" w:hAnsiTheme="minorHAnsi" w:eastAsiaTheme="minorEastAsia" w:cstheme="minorBidi"/>
          <w:b w:val="0"/>
          <w:caps w:val="0"/>
          <w:spacing w:val="0"/>
          <w:sz w:val="22"/>
          <w:szCs w:val="22"/>
        </w:rPr>
        <w:tab/>
      </w:r>
      <w:r>
        <w:rPr>
          <w:rStyle w:val="95"/>
          <w:rFonts w:ascii="Times New Roman" w:hAnsi="Times New Roman"/>
        </w:rPr>
        <w:t>ХАРАКТЕРИСТИКА СОСТОЯНИЯ И ПРОБЛЕМ КОММУНАЛЬНОЙ ИНФРАСТРУКТУРЫ</w:t>
      </w:r>
      <w:r>
        <w:tab/>
      </w:r>
      <w:r>
        <w:fldChar w:fldCharType="begin"/>
      </w:r>
      <w:r>
        <w:instrText xml:space="preserve"> PAGEREF _Toc21015027 \h </w:instrText>
      </w:r>
      <w:r>
        <w:fldChar w:fldCharType="separate"/>
      </w:r>
      <w:r>
        <w:t>7</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"_Toc21015028" </w:instrText>
      </w:r>
      <w:r>
        <w:fldChar w:fldCharType="separate"/>
      </w:r>
      <w:r>
        <w:rPr>
          <w:rStyle w:val="95"/>
        </w:rPr>
        <w:t>2.1.</w:t>
      </w:r>
      <w:r>
        <w:rPr>
          <w:rFonts w:asciiTheme="minorHAnsi" w:hAnsiTheme="minorHAnsi" w:eastAsiaTheme="minorEastAsia" w:cstheme="minorBidi"/>
          <w:sz w:val="22"/>
          <w:szCs w:val="22"/>
        </w:rPr>
        <w:tab/>
      </w:r>
      <w:r>
        <w:rPr>
          <w:rStyle w:val="95"/>
        </w:rPr>
        <w:t>Краткий анализ существующего состояния системы теплоснабжения</w:t>
      </w:r>
      <w:r>
        <w:tab/>
      </w:r>
      <w:r>
        <w:fldChar w:fldCharType="begin"/>
      </w:r>
      <w:r>
        <w:instrText xml:space="preserve"> PAGEREF _Toc21015028 \h </w:instrText>
      </w:r>
      <w:r>
        <w:fldChar w:fldCharType="separate"/>
      </w:r>
      <w:r>
        <w:t>7</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"_Toc21015029" </w:instrText>
      </w:r>
      <w:r>
        <w:fldChar w:fldCharType="separate"/>
      </w:r>
      <w:r>
        <w:rPr>
          <w:rStyle w:val="95"/>
        </w:rPr>
        <w:t>2.1.1.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_Toc21015029 \h </w:instrText>
      </w:r>
      <w:r>
        <w:fldChar w:fldCharType="separate"/>
      </w:r>
      <w:r>
        <w:t>7</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"_Toc21015030" </w:instrText>
      </w:r>
      <w:r>
        <w:fldChar w:fldCharType="separate"/>
      </w:r>
      <w:r>
        <w:rPr>
          <w:rStyle w:val="95"/>
        </w:rPr>
        <w:t>2.1.2.</w:t>
      </w:r>
      <w:r>
        <w:rPr>
          <w:rFonts w:asciiTheme="minorHAnsi" w:hAnsiTheme="minorHAnsi" w:eastAsiaTheme="minorEastAsia" w:cstheme="minorBidi"/>
          <w:sz w:val="22"/>
          <w:szCs w:val="22"/>
        </w:rPr>
        <w:tab/>
      </w:r>
      <w:r>
        <w:rPr>
          <w:rStyle w:val="95"/>
        </w:rPr>
        <w:t>Анализ существующего технического состояния</w:t>
      </w:r>
      <w:r>
        <w:tab/>
      </w:r>
      <w:r>
        <w:fldChar w:fldCharType="begin"/>
      </w:r>
      <w:r>
        <w:instrText xml:space="preserve"> PAGEREF _Toc21015030 \h </w:instrText>
      </w:r>
      <w:r>
        <w:fldChar w:fldCharType="separate"/>
      </w:r>
      <w:r>
        <w:t>13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"_Toc21015031" </w:instrText>
      </w:r>
      <w:r>
        <w:fldChar w:fldCharType="separate"/>
      </w:r>
      <w:r>
        <w:rPr>
          <w:rStyle w:val="95"/>
        </w:rPr>
        <w:t>2.2.</w:t>
      </w:r>
      <w:r>
        <w:rPr>
          <w:rFonts w:asciiTheme="minorHAnsi" w:hAnsiTheme="minorHAnsi" w:eastAsiaTheme="minorEastAsia" w:cstheme="minorBidi"/>
          <w:sz w:val="22"/>
          <w:szCs w:val="22"/>
        </w:rPr>
        <w:tab/>
      </w:r>
      <w:r>
        <w:rPr>
          <w:rStyle w:val="95"/>
        </w:rPr>
        <w:t>Краткий анализ существующего состояния системы водоснабжения</w:t>
      </w:r>
      <w:r>
        <w:tab/>
      </w:r>
      <w:r>
        <w:fldChar w:fldCharType="begin"/>
      </w:r>
      <w:r>
        <w:instrText xml:space="preserve"> PAGEREF _Toc21015031 \h </w:instrText>
      </w:r>
      <w:r>
        <w:fldChar w:fldCharType="separate"/>
      </w:r>
      <w:r>
        <w:t>35</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"_Toc21015032" </w:instrText>
      </w:r>
      <w:r>
        <w:fldChar w:fldCharType="separate"/>
      </w:r>
      <w:r>
        <w:rPr>
          <w:rStyle w:val="95"/>
        </w:rPr>
        <w:t>2.2.1.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_Toc21015032 \h </w:instrText>
      </w:r>
      <w:r>
        <w:fldChar w:fldCharType="separate"/>
      </w:r>
      <w:r>
        <w:t>35</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"_Toc21015033" </w:instrText>
      </w:r>
      <w:r>
        <w:fldChar w:fldCharType="separate"/>
      </w:r>
      <w:r>
        <w:rPr>
          <w:rStyle w:val="95"/>
        </w:rPr>
        <w:t>2.2.2.</w:t>
      </w:r>
      <w:r>
        <w:rPr>
          <w:rFonts w:asciiTheme="minorHAnsi" w:hAnsiTheme="minorHAnsi" w:eastAsiaTheme="minorEastAsia" w:cstheme="minorBidi"/>
          <w:sz w:val="22"/>
          <w:szCs w:val="22"/>
        </w:rPr>
        <w:tab/>
      </w:r>
      <w:r>
        <w:rPr>
          <w:rStyle w:val="95"/>
        </w:rPr>
        <w:t>Анализ существующего технического состояния</w:t>
      </w:r>
      <w:r>
        <w:tab/>
      </w:r>
      <w:r>
        <w:fldChar w:fldCharType="begin"/>
      </w:r>
      <w:r>
        <w:instrText xml:space="preserve"> PAGEREF _Toc21015033 \h </w:instrText>
      </w:r>
      <w:r>
        <w:fldChar w:fldCharType="separate"/>
      </w:r>
      <w:r>
        <w:t>47</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"_Toc21015034" </w:instrText>
      </w:r>
      <w:r>
        <w:fldChar w:fldCharType="separate"/>
      </w:r>
      <w:r>
        <w:rPr>
          <w:rStyle w:val="95"/>
        </w:rPr>
        <w:t>2.3.</w:t>
      </w:r>
      <w:r>
        <w:rPr>
          <w:rFonts w:asciiTheme="minorHAnsi" w:hAnsiTheme="minorHAnsi" w:eastAsiaTheme="minorEastAsia" w:cstheme="minorBidi"/>
          <w:sz w:val="22"/>
          <w:szCs w:val="22"/>
        </w:rPr>
        <w:tab/>
      </w:r>
      <w:r>
        <w:rPr>
          <w:rStyle w:val="95"/>
        </w:rPr>
        <w:t>Краткий анализ существующего состояния системы водоотведения</w:t>
      </w:r>
      <w:r>
        <w:tab/>
      </w:r>
      <w:r>
        <w:fldChar w:fldCharType="begin"/>
      </w:r>
      <w:r>
        <w:instrText xml:space="preserve"> PAGEREF _Toc21015034 \h </w:instrText>
      </w:r>
      <w:r>
        <w:fldChar w:fldCharType="separate"/>
      </w:r>
      <w:r>
        <w:t>81</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"_Toc21015035" </w:instrText>
      </w:r>
      <w:r>
        <w:fldChar w:fldCharType="separate"/>
      </w:r>
      <w:r>
        <w:rPr>
          <w:rStyle w:val="95"/>
        </w:rPr>
        <w:t>2.3.1.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_Toc21015035 \h </w:instrText>
      </w:r>
      <w:r>
        <w:fldChar w:fldCharType="separate"/>
      </w:r>
      <w:r>
        <w:t>81</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"_Toc21015036" </w:instrText>
      </w:r>
      <w:r>
        <w:fldChar w:fldCharType="separate"/>
      </w:r>
      <w:r>
        <w:rPr>
          <w:rStyle w:val="95"/>
        </w:rPr>
        <w:t>2.3.2.</w:t>
      </w:r>
      <w:r>
        <w:rPr>
          <w:rFonts w:asciiTheme="minorHAnsi" w:hAnsiTheme="minorHAnsi" w:eastAsiaTheme="minorEastAsia" w:cstheme="minorBidi"/>
          <w:sz w:val="22"/>
          <w:szCs w:val="22"/>
        </w:rPr>
        <w:tab/>
      </w:r>
      <w:r>
        <w:rPr>
          <w:rStyle w:val="95"/>
        </w:rPr>
        <w:t>Анализ технического состояния</w:t>
      </w:r>
      <w:r>
        <w:tab/>
      </w:r>
      <w:r>
        <w:fldChar w:fldCharType="begin"/>
      </w:r>
      <w:r>
        <w:instrText xml:space="preserve"> PAGEREF _Toc21015036 \h </w:instrText>
      </w:r>
      <w:r>
        <w:fldChar w:fldCharType="separate"/>
      </w:r>
      <w:r>
        <w:t>83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"_Toc21015037" </w:instrText>
      </w:r>
      <w:r>
        <w:fldChar w:fldCharType="separate"/>
      </w:r>
      <w:r>
        <w:rPr>
          <w:rStyle w:val="95"/>
        </w:rPr>
        <w:t>2.4.</w:t>
      </w:r>
      <w:r>
        <w:rPr>
          <w:rFonts w:asciiTheme="minorHAnsi" w:hAnsiTheme="minorHAnsi" w:eastAsiaTheme="minorEastAsia" w:cstheme="minorBidi"/>
          <w:sz w:val="22"/>
          <w:szCs w:val="22"/>
        </w:rPr>
        <w:tab/>
      </w:r>
      <w:r>
        <w:rPr>
          <w:rStyle w:val="95"/>
        </w:rPr>
        <w:t>Краткий анализ существующего состояния системы электроснабжения</w:t>
      </w:r>
      <w:r>
        <w:tab/>
      </w:r>
      <w:r>
        <w:fldChar w:fldCharType="begin"/>
      </w:r>
      <w:r>
        <w:instrText xml:space="preserve"> PAGEREF _Toc21015037 \h </w:instrText>
      </w:r>
      <w:r>
        <w:fldChar w:fldCharType="separate"/>
      </w:r>
      <w:r>
        <w:t>92</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"_Toc21015038" </w:instrText>
      </w:r>
      <w:r>
        <w:fldChar w:fldCharType="separate"/>
      </w:r>
      <w:r>
        <w:rPr>
          <w:rStyle w:val="95"/>
        </w:rPr>
        <w:t>2.4.1.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_Toc21015038 \h </w:instrText>
      </w:r>
      <w:r>
        <w:fldChar w:fldCharType="separate"/>
      </w:r>
      <w:r>
        <w:t>92</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"_Toc21015039" </w:instrText>
      </w:r>
      <w:r>
        <w:fldChar w:fldCharType="separate"/>
      </w:r>
      <w:r>
        <w:rPr>
          <w:rStyle w:val="95"/>
        </w:rPr>
        <w:t>2.4.2.</w:t>
      </w:r>
      <w:r>
        <w:rPr>
          <w:rFonts w:asciiTheme="minorHAnsi" w:hAnsiTheme="minorHAnsi" w:eastAsiaTheme="minorEastAsia" w:cstheme="minorBidi"/>
          <w:sz w:val="22"/>
          <w:szCs w:val="22"/>
        </w:rPr>
        <w:tab/>
      </w:r>
      <w:r>
        <w:rPr>
          <w:rStyle w:val="95"/>
        </w:rPr>
        <w:t>Анализ существующего технического состояния</w:t>
      </w:r>
      <w:r>
        <w:tab/>
      </w:r>
      <w:r>
        <w:fldChar w:fldCharType="begin"/>
      </w:r>
      <w:r>
        <w:instrText xml:space="preserve"> PAGEREF _Toc21015039 \h </w:instrText>
      </w:r>
      <w:r>
        <w:fldChar w:fldCharType="separate"/>
      </w:r>
      <w:r>
        <w:t>92</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"_Toc21015040" </w:instrText>
      </w:r>
      <w:r>
        <w:fldChar w:fldCharType="separate"/>
      </w:r>
      <w:r>
        <w:rPr>
          <w:rStyle w:val="95"/>
        </w:rPr>
        <w:t>2.4.3.</w:t>
      </w:r>
      <w:r>
        <w:rPr>
          <w:rFonts w:asciiTheme="minorHAnsi" w:hAnsiTheme="minorHAnsi" w:eastAsiaTheme="minorEastAsia" w:cstheme="minorBidi"/>
          <w:sz w:val="22"/>
          <w:szCs w:val="22"/>
        </w:rPr>
        <w:tab/>
      </w:r>
      <w:r>
        <w:rPr>
          <w:rStyle w:val="95"/>
        </w:rPr>
        <w:t>Анализ финасового состояния</w:t>
      </w:r>
      <w:r>
        <w:tab/>
      </w:r>
      <w:r>
        <w:fldChar w:fldCharType="begin"/>
      </w:r>
      <w:r>
        <w:instrText xml:space="preserve"> PAGEREF _Toc21015040 \h </w:instrText>
      </w:r>
      <w:r>
        <w:fldChar w:fldCharType="separate"/>
      </w:r>
      <w:r>
        <w:t>95</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"_Toc21015041" </w:instrText>
      </w:r>
      <w:r>
        <w:fldChar w:fldCharType="separate"/>
      </w:r>
      <w:r>
        <w:rPr>
          <w:rStyle w:val="95"/>
        </w:rPr>
        <w:t>2.5.</w:t>
      </w:r>
      <w:r>
        <w:rPr>
          <w:rFonts w:asciiTheme="minorHAnsi" w:hAnsiTheme="minorHAnsi" w:eastAsiaTheme="minorEastAsia" w:cstheme="minorBidi"/>
          <w:sz w:val="22"/>
          <w:szCs w:val="22"/>
        </w:rPr>
        <w:tab/>
      </w:r>
      <w:r>
        <w:rPr>
          <w:rStyle w:val="95"/>
        </w:rPr>
        <w:t>Краткий анализ существующей системы газоснабжения</w:t>
      </w:r>
      <w:r>
        <w:tab/>
      </w:r>
      <w:r>
        <w:fldChar w:fldCharType="begin"/>
      </w:r>
      <w:r>
        <w:instrText xml:space="preserve"> PAGEREF _Toc21015041 \h </w:instrText>
      </w:r>
      <w:r>
        <w:fldChar w:fldCharType="separate"/>
      </w:r>
      <w:r>
        <w:t>100</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"_Toc21015042" </w:instrText>
      </w:r>
      <w:r>
        <w:fldChar w:fldCharType="separate"/>
      </w:r>
      <w:r>
        <w:rPr>
          <w:rStyle w:val="95"/>
        </w:rPr>
        <w:t>2.5.1.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_Toc21015042 \h </w:instrText>
      </w:r>
      <w:r>
        <w:fldChar w:fldCharType="separate"/>
      </w:r>
      <w:r>
        <w:t>100</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"_Toc21015043" </w:instrText>
      </w:r>
      <w:r>
        <w:fldChar w:fldCharType="separate"/>
      </w:r>
      <w:r>
        <w:rPr>
          <w:rStyle w:val="95"/>
        </w:rPr>
        <w:t>2.5.2.</w:t>
      </w:r>
      <w:r>
        <w:rPr>
          <w:rFonts w:asciiTheme="minorHAnsi" w:hAnsiTheme="minorHAnsi" w:eastAsiaTheme="minorEastAsia" w:cstheme="minorBidi"/>
          <w:sz w:val="22"/>
          <w:szCs w:val="22"/>
        </w:rPr>
        <w:tab/>
      </w:r>
      <w:r>
        <w:rPr>
          <w:rStyle w:val="95"/>
        </w:rPr>
        <w:t>Анализ существующего технического состояния</w:t>
      </w:r>
      <w:r>
        <w:tab/>
      </w:r>
      <w:r>
        <w:fldChar w:fldCharType="begin"/>
      </w:r>
      <w:r>
        <w:instrText xml:space="preserve"> PAGEREF _Toc21015043 \h </w:instrText>
      </w:r>
      <w:r>
        <w:fldChar w:fldCharType="separate"/>
      </w:r>
      <w:r>
        <w:t>100</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"_Toc21015044" </w:instrText>
      </w:r>
      <w:r>
        <w:fldChar w:fldCharType="separate"/>
      </w:r>
      <w:r>
        <w:rPr>
          <w:rStyle w:val="95"/>
        </w:rPr>
        <w:t>2.5.3.</w:t>
      </w:r>
      <w:r>
        <w:rPr>
          <w:rFonts w:asciiTheme="minorHAnsi" w:hAnsiTheme="minorHAnsi" w:eastAsiaTheme="minorEastAsia" w:cstheme="minorBidi"/>
          <w:sz w:val="22"/>
          <w:szCs w:val="22"/>
        </w:rPr>
        <w:tab/>
      </w:r>
      <w:r>
        <w:rPr>
          <w:rStyle w:val="95"/>
        </w:rPr>
        <w:t>Анализ финасового состояния</w:t>
      </w:r>
      <w:r>
        <w:tab/>
      </w:r>
      <w:r>
        <w:fldChar w:fldCharType="begin"/>
      </w:r>
      <w:r>
        <w:instrText xml:space="preserve"> PAGEREF _Toc21015044 \h </w:instrText>
      </w:r>
      <w:r>
        <w:fldChar w:fldCharType="separate"/>
      </w:r>
      <w:r>
        <w:t>105</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"_Toc21015045" </w:instrText>
      </w:r>
      <w:r>
        <w:fldChar w:fldCharType="separate"/>
      </w:r>
      <w:r>
        <w:rPr>
          <w:rStyle w:val="95"/>
        </w:rPr>
        <w:t>2.6.</w:t>
      </w:r>
      <w:r>
        <w:rPr>
          <w:rFonts w:asciiTheme="minorHAnsi" w:hAnsiTheme="minorHAnsi" w:eastAsiaTheme="minorEastAsia" w:cstheme="minorBidi"/>
          <w:sz w:val="22"/>
          <w:szCs w:val="22"/>
        </w:rPr>
        <w:tab/>
      </w:r>
      <w:r>
        <w:rPr>
          <w:rStyle w:val="95"/>
        </w:rPr>
        <w:t>Краткий анализ существующего состояния системы обращения твердых коммунальных отходов</w:t>
      </w:r>
      <w:r>
        <w:tab/>
      </w:r>
      <w:r>
        <w:fldChar w:fldCharType="begin"/>
      </w:r>
      <w:r>
        <w:instrText xml:space="preserve"> PAGEREF _Toc21015045 \h </w:instrText>
      </w:r>
      <w:r>
        <w:fldChar w:fldCharType="separate"/>
      </w:r>
      <w:r>
        <w:t>111</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"_Toc21015046" </w:instrText>
      </w:r>
      <w:r>
        <w:fldChar w:fldCharType="separate"/>
      </w:r>
      <w:r>
        <w:rPr>
          <w:rStyle w:val="95"/>
        </w:rPr>
        <w:t>2.6.1.</w:t>
      </w:r>
      <w:r>
        <w:rPr>
          <w:rFonts w:asciiTheme="minorHAnsi" w:hAnsiTheme="minorHAnsi" w:eastAsiaTheme="minorEastAsia" w:cstheme="minorBidi"/>
          <w:sz w:val="22"/>
          <w:szCs w:val="22"/>
        </w:rPr>
        <w:tab/>
      </w:r>
      <w:r>
        <w:rPr>
          <w:rStyle w:val="95"/>
        </w:rPr>
        <w:t>Организационная структура</w:t>
      </w:r>
      <w:r>
        <w:tab/>
      </w:r>
      <w:r>
        <w:fldChar w:fldCharType="begin"/>
      </w:r>
      <w:r>
        <w:instrText xml:space="preserve"> PAGEREF _Toc21015046 \h </w:instrText>
      </w:r>
      <w:r>
        <w:fldChar w:fldCharType="separate"/>
      </w:r>
      <w:r>
        <w:t>111</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"_Toc21015047" </w:instrText>
      </w:r>
      <w:r>
        <w:fldChar w:fldCharType="separate"/>
      </w:r>
      <w:r>
        <w:rPr>
          <w:rStyle w:val="95"/>
        </w:rPr>
        <w:t>2.6.2.</w:t>
      </w:r>
      <w:r>
        <w:rPr>
          <w:rFonts w:asciiTheme="minorHAnsi" w:hAnsiTheme="minorHAnsi" w:eastAsiaTheme="minorEastAsia" w:cstheme="minorBidi"/>
          <w:sz w:val="22"/>
          <w:szCs w:val="22"/>
        </w:rPr>
        <w:tab/>
      </w:r>
      <w:r>
        <w:rPr>
          <w:rStyle w:val="95"/>
        </w:rPr>
        <w:t>Анализ технического состояни</w:t>
      </w:r>
      <w:r>
        <w:tab/>
      </w:r>
      <w:r>
        <w:fldChar w:fldCharType="begin"/>
      </w:r>
      <w:r>
        <w:instrText xml:space="preserve"> PAGEREF _Toc21015047 \h </w:instrText>
      </w:r>
      <w:r>
        <w:fldChar w:fldCharType="separate"/>
      </w:r>
      <w:r>
        <w:t>113</w:t>
      </w:r>
      <w:r>
        <w:fldChar w:fldCharType="end"/>
      </w:r>
      <w:r>
        <w:fldChar w:fldCharType="end"/>
      </w:r>
    </w:p>
    <w:p>
      <w:pPr>
        <w:pStyle w:val="53"/>
        <w:tabs>
          <w:tab w:val="left" w:pos="1440"/>
        </w:tabs>
        <w:rPr>
          <w:rFonts w:asciiTheme="minorHAnsi" w:hAnsiTheme="minorHAnsi" w:eastAsiaTheme="minorEastAsia" w:cstheme="minorBidi"/>
          <w:sz w:val="22"/>
          <w:szCs w:val="22"/>
        </w:rPr>
      </w:pPr>
      <w:r>
        <w:fldChar w:fldCharType="begin"/>
      </w:r>
      <w:r>
        <w:instrText xml:space="preserve"> HYPERLINK \l "_Toc21015048" </w:instrText>
      </w:r>
      <w:r>
        <w:fldChar w:fldCharType="separate"/>
      </w:r>
      <w:r>
        <w:rPr>
          <w:rStyle w:val="95"/>
        </w:rPr>
        <w:t>2.6.3.</w:t>
      </w:r>
      <w:r>
        <w:rPr>
          <w:rFonts w:asciiTheme="minorHAnsi" w:hAnsiTheme="minorHAnsi" w:eastAsiaTheme="minorEastAsia" w:cstheme="minorBidi"/>
          <w:sz w:val="22"/>
          <w:szCs w:val="22"/>
        </w:rPr>
        <w:tab/>
      </w:r>
      <w:r>
        <w:rPr>
          <w:rStyle w:val="95"/>
        </w:rPr>
        <w:t>Анализ финасового состояния</w:t>
      </w:r>
      <w:r>
        <w:tab/>
      </w:r>
      <w:r>
        <w:fldChar w:fldCharType="begin"/>
      </w:r>
      <w:r>
        <w:instrText xml:space="preserve"> PAGEREF _Toc21015048 \h </w:instrText>
      </w:r>
      <w:r>
        <w:fldChar w:fldCharType="separate"/>
      </w:r>
      <w:r>
        <w:t>114</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"_Toc21015049" </w:instrText>
      </w:r>
      <w:r>
        <w:fldChar w:fldCharType="separate"/>
      </w:r>
      <w:r>
        <w:rPr>
          <w:rStyle w:val="95"/>
        </w:rPr>
        <w:t>2.7.</w:t>
      </w:r>
      <w:r>
        <w:rPr>
          <w:rFonts w:asciiTheme="minorHAnsi" w:hAnsiTheme="minorHAnsi" w:eastAsiaTheme="minorEastAsia" w:cstheme="minorBidi"/>
          <w:sz w:val="22"/>
          <w:szCs w:val="22"/>
        </w:rPr>
        <w:tab/>
      </w:r>
      <w:r>
        <w:rPr>
          <w:rStyle w:val="95"/>
        </w:rPr>
        <w:t>Краткий анализ обеспеченности приборами учета потребителей</w:t>
      </w:r>
      <w:r>
        <w:tab/>
      </w:r>
      <w:r>
        <w:fldChar w:fldCharType="begin"/>
      </w:r>
      <w:r>
        <w:instrText xml:space="preserve"> PAGEREF _Toc21015049 \h </w:instrText>
      </w:r>
      <w:r>
        <w:fldChar w:fldCharType="separate"/>
      </w:r>
      <w:r>
        <w:t>114</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"_Toc21015050" </w:instrText>
      </w:r>
      <w:r>
        <w:fldChar w:fldCharType="separate"/>
      </w:r>
      <w:r>
        <w:rPr>
          <w:rStyle w:val="95"/>
        </w:rPr>
        <w:t>3.</w:t>
      </w:r>
      <w:r>
        <w:rPr>
          <w:rFonts w:asciiTheme="minorHAnsi" w:hAnsiTheme="minorHAnsi" w:eastAsiaTheme="minorEastAsia" w:cstheme="minorBidi"/>
          <w:b w:val="0"/>
          <w:caps w:val="0"/>
          <w:spacing w:val="0"/>
          <w:sz w:val="22"/>
          <w:szCs w:val="22"/>
        </w:rPr>
        <w:tab/>
      </w:r>
      <w:r>
        <w:rPr>
          <w:rStyle w:val="95"/>
          <w:rFonts w:ascii="Times New Roman" w:hAnsi="Times New Roman"/>
        </w:rPr>
        <w:t>ПЕРСПЕКТИВЫ РАЗВИТИЯ ТЕРРИТОРИАЛЬНОГО УПРАВЛЕНИЯ ОДИНЦОВО И ПРОГНОЗ СПРОСА НА КОММУНАЛЬНЫЕ РЕСУРСЫ</w:t>
      </w:r>
      <w:r>
        <w:tab/>
      </w:r>
      <w:r>
        <w:fldChar w:fldCharType="begin"/>
      </w:r>
      <w:r>
        <w:instrText xml:space="preserve"> PAGEREF _Toc21015050 \h </w:instrText>
      </w:r>
      <w:r>
        <w:fldChar w:fldCharType="separate"/>
      </w:r>
      <w:r>
        <w:t>117</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"_Toc21015051" </w:instrText>
      </w:r>
      <w:r>
        <w:fldChar w:fldCharType="separate"/>
      </w:r>
      <w:r>
        <w:rPr>
          <w:rStyle w:val="95"/>
        </w:rPr>
        <w:t>3.1.</w:t>
      </w:r>
      <w:r>
        <w:rPr>
          <w:rFonts w:asciiTheme="minorHAnsi" w:hAnsiTheme="minorHAnsi" w:eastAsiaTheme="minorEastAsia" w:cstheme="minorBidi"/>
          <w:sz w:val="22"/>
          <w:szCs w:val="22"/>
        </w:rPr>
        <w:tab/>
      </w:r>
      <w:r>
        <w:rPr>
          <w:rStyle w:val="95"/>
        </w:rPr>
        <w:t>Количественное определение перспективных показателей развития муниципального образования</w:t>
      </w:r>
      <w:r>
        <w:tab/>
      </w:r>
      <w:r>
        <w:fldChar w:fldCharType="begin"/>
      </w:r>
      <w:r>
        <w:instrText xml:space="preserve"> PAGEREF _Toc21015051 \h </w:instrText>
      </w:r>
      <w:r>
        <w:fldChar w:fldCharType="separate"/>
      </w:r>
      <w:r>
        <w:t>117</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"_Toc21015052" </w:instrText>
      </w:r>
      <w:r>
        <w:fldChar w:fldCharType="separate"/>
      </w:r>
      <w:r>
        <w:rPr>
          <w:rStyle w:val="95"/>
        </w:rPr>
        <w:t>3.2.</w:t>
      </w:r>
      <w:r>
        <w:rPr>
          <w:rFonts w:asciiTheme="minorHAnsi" w:hAnsiTheme="minorHAnsi" w:eastAsiaTheme="minorEastAsia" w:cstheme="minorBidi"/>
          <w:sz w:val="22"/>
          <w:szCs w:val="22"/>
        </w:rPr>
        <w:tab/>
      </w:r>
      <w:r>
        <w:rPr>
          <w:rStyle w:val="95"/>
        </w:rPr>
        <w:t>Прогноз спроса на коммунальные ресурсы</w:t>
      </w:r>
      <w:r>
        <w:tab/>
      </w:r>
      <w:r>
        <w:fldChar w:fldCharType="begin"/>
      </w:r>
      <w:r>
        <w:instrText xml:space="preserve"> PAGEREF _Toc21015052 \h </w:instrText>
      </w:r>
      <w:r>
        <w:fldChar w:fldCharType="separate"/>
      </w:r>
      <w:r>
        <w:t>125</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"_Toc21015053" </w:instrText>
      </w:r>
      <w:r>
        <w:fldChar w:fldCharType="separate"/>
      </w:r>
      <w:r>
        <w:rPr>
          <w:rStyle w:val="95"/>
        </w:rPr>
        <w:t>4.</w:t>
      </w:r>
      <w:r>
        <w:rPr>
          <w:rFonts w:asciiTheme="minorHAnsi" w:hAnsiTheme="minorHAnsi" w:eastAsiaTheme="minorEastAsia" w:cstheme="minorBidi"/>
          <w:b w:val="0"/>
          <w:caps w:val="0"/>
          <w:spacing w:val="0"/>
          <w:sz w:val="22"/>
          <w:szCs w:val="22"/>
        </w:rPr>
        <w:tab/>
      </w:r>
      <w:r>
        <w:rPr>
          <w:rStyle w:val="95"/>
          <w:rFonts w:ascii="Times New Roman" w:hAnsi="Times New Roman"/>
        </w:rPr>
        <w:t>ЦЕЛЕВЫЕ ПОКАЗАТЕЛИ РАЗВИТИЯ КОММУНАЛЬНОЙ ИНФРАСТРУКТУРЫ</w:t>
      </w:r>
      <w:r>
        <w:tab/>
      </w:r>
      <w:r>
        <w:fldChar w:fldCharType="begin"/>
      </w:r>
      <w:r>
        <w:instrText xml:space="preserve"> PAGEREF _Toc21015053 \h </w:instrText>
      </w:r>
      <w:r>
        <w:fldChar w:fldCharType="separate"/>
      </w:r>
      <w:r>
        <w:t>128</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"_Toc21015054" </w:instrText>
      </w:r>
      <w:r>
        <w:fldChar w:fldCharType="separate"/>
      </w:r>
      <w:r>
        <w:rPr>
          <w:rStyle w:val="95"/>
        </w:rPr>
        <w:t>4.1.</w:t>
      </w:r>
      <w:r>
        <w:rPr>
          <w:rFonts w:asciiTheme="minorHAnsi" w:hAnsiTheme="minorHAnsi" w:eastAsiaTheme="minorEastAsia" w:cstheme="minorBidi"/>
          <w:sz w:val="22"/>
          <w:szCs w:val="22"/>
        </w:rPr>
        <w:tab/>
      </w:r>
      <w:r>
        <w:rPr>
          <w:rStyle w:val="95"/>
        </w:rPr>
        <w:t>Общие целевые показатели развития муниципального образования</w:t>
      </w:r>
      <w:r>
        <w:tab/>
      </w:r>
      <w:r>
        <w:fldChar w:fldCharType="begin"/>
      </w:r>
      <w:r>
        <w:instrText xml:space="preserve"> PAGEREF _Toc21015054 \h </w:instrText>
      </w:r>
      <w:r>
        <w:fldChar w:fldCharType="separate"/>
      </w:r>
      <w:r>
        <w:t>128</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"_Toc21015055" </w:instrText>
      </w:r>
      <w:r>
        <w:fldChar w:fldCharType="separate"/>
      </w:r>
      <w:r>
        <w:rPr>
          <w:rStyle w:val="95"/>
        </w:rPr>
        <w:t>4.2.</w:t>
      </w:r>
      <w:r>
        <w:rPr>
          <w:rFonts w:asciiTheme="minorHAnsi" w:hAnsiTheme="minorHAnsi" w:eastAsiaTheme="minorEastAsia" w:cstheme="minorBidi"/>
          <w:sz w:val="22"/>
          <w:szCs w:val="22"/>
        </w:rPr>
        <w:tab/>
      </w:r>
      <w:r>
        <w:rPr>
          <w:rStyle w:val="95"/>
        </w:rPr>
        <w:t>Целевые показатели развития системы теплоснабжения</w:t>
      </w:r>
      <w:r>
        <w:tab/>
      </w:r>
      <w:r>
        <w:fldChar w:fldCharType="begin"/>
      </w:r>
      <w:r>
        <w:instrText xml:space="preserve"> PAGEREF _Toc21015055 \h </w:instrText>
      </w:r>
      <w:r>
        <w:fldChar w:fldCharType="separate"/>
      </w:r>
      <w:r>
        <w:t>129</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"_Toc21015056" </w:instrText>
      </w:r>
      <w:r>
        <w:fldChar w:fldCharType="separate"/>
      </w:r>
      <w:r>
        <w:rPr>
          <w:rStyle w:val="95"/>
        </w:rPr>
        <w:t>4.3.</w:t>
      </w:r>
      <w:r>
        <w:rPr>
          <w:rFonts w:asciiTheme="minorHAnsi" w:hAnsiTheme="minorHAnsi" w:eastAsiaTheme="minorEastAsia" w:cstheme="minorBidi"/>
          <w:sz w:val="22"/>
          <w:szCs w:val="22"/>
        </w:rPr>
        <w:tab/>
      </w:r>
      <w:r>
        <w:rPr>
          <w:rStyle w:val="95"/>
        </w:rPr>
        <w:t>Целевые показатели развития системы водоснабжения</w:t>
      </w:r>
      <w:r>
        <w:tab/>
      </w:r>
      <w:r>
        <w:fldChar w:fldCharType="begin"/>
      </w:r>
      <w:r>
        <w:instrText xml:space="preserve"> PAGEREF _Toc21015056 \h </w:instrText>
      </w:r>
      <w:r>
        <w:fldChar w:fldCharType="separate"/>
      </w:r>
      <w:r>
        <w:t>129</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"_Toc21015057" </w:instrText>
      </w:r>
      <w:r>
        <w:fldChar w:fldCharType="separate"/>
      </w:r>
      <w:r>
        <w:rPr>
          <w:rStyle w:val="95"/>
        </w:rPr>
        <w:t>4.4.</w:t>
      </w:r>
      <w:r>
        <w:rPr>
          <w:rFonts w:asciiTheme="minorHAnsi" w:hAnsiTheme="minorHAnsi" w:eastAsiaTheme="minorEastAsia" w:cstheme="minorBidi"/>
          <w:sz w:val="22"/>
          <w:szCs w:val="22"/>
        </w:rPr>
        <w:tab/>
      </w:r>
      <w:r>
        <w:rPr>
          <w:rStyle w:val="95"/>
        </w:rPr>
        <w:t>Целевые показатели развития системы водоотведения</w:t>
      </w:r>
      <w:r>
        <w:tab/>
      </w:r>
      <w:r>
        <w:fldChar w:fldCharType="begin"/>
      </w:r>
      <w:r>
        <w:instrText xml:space="preserve"> PAGEREF _Toc21015057 \h </w:instrText>
      </w:r>
      <w:r>
        <w:fldChar w:fldCharType="separate"/>
      </w:r>
      <w:r>
        <w:t>130</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"_Toc21015058" </w:instrText>
      </w:r>
      <w:r>
        <w:fldChar w:fldCharType="separate"/>
      </w:r>
      <w:r>
        <w:rPr>
          <w:rStyle w:val="95"/>
        </w:rPr>
        <w:t>4.5.</w:t>
      </w:r>
      <w:r>
        <w:rPr>
          <w:rFonts w:asciiTheme="minorHAnsi" w:hAnsiTheme="minorHAnsi" w:eastAsiaTheme="minorEastAsia" w:cstheme="minorBidi"/>
          <w:sz w:val="22"/>
          <w:szCs w:val="22"/>
        </w:rPr>
        <w:tab/>
      </w:r>
      <w:r>
        <w:rPr>
          <w:rStyle w:val="95"/>
        </w:rPr>
        <w:t>Целевые показатели развития системы электроснабжения</w:t>
      </w:r>
      <w:r>
        <w:tab/>
      </w:r>
      <w:r>
        <w:fldChar w:fldCharType="begin"/>
      </w:r>
      <w:r>
        <w:instrText xml:space="preserve"> PAGEREF _Toc21015058 \h </w:instrText>
      </w:r>
      <w:r>
        <w:fldChar w:fldCharType="separate"/>
      </w:r>
      <w:r>
        <w:t>130</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"_Toc21015059" </w:instrText>
      </w:r>
      <w:r>
        <w:fldChar w:fldCharType="separate"/>
      </w:r>
      <w:r>
        <w:rPr>
          <w:rStyle w:val="95"/>
        </w:rPr>
        <w:t>4.6.</w:t>
      </w:r>
      <w:r>
        <w:rPr>
          <w:rFonts w:asciiTheme="minorHAnsi" w:hAnsiTheme="minorHAnsi" w:eastAsiaTheme="minorEastAsia" w:cstheme="minorBidi"/>
          <w:sz w:val="22"/>
          <w:szCs w:val="22"/>
        </w:rPr>
        <w:tab/>
      </w:r>
      <w:r>
        <w:rPr>
          <w:rStyle w:val="95"/>
        </w:rPr>
        <w:t>Целевые показатели развития системы газоснабжения</w:t>
      </w:r>
      <w:r>
        <w:tab/>
      </w:r>
      <w:r>
        <w:fldChar w:fldCharType="begin"/>
      </w:r>
      <w:r>
        <w:instrText xml:space="preserve"> PAGEREF _Toc21015059 \h </w:instrText>
      </w:r>
      <w:r>
        <w:fldChar w:fldCharType="separate"/>
      </w:r>
      <w:r>
        <w:t>131</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"_Toc21015060" </w:instrText>
      </w:r>
      <w:r>
        <w:fldChar w:fldCharType="separate"/>
      </w:r>
      <w:r>
        <w:rPr>
          <w:rStyle w:val="95"/>
        </w:rPr>
        <w:t>4.7.</w:t>
      </w:r>
      <w:r>
        <w:rPr>
          <w:rFonts w:asciiTheme="minorHAnsi" w:hAnsiTheme="minorHAnsi" w:eastAsiaTheme="minorEastAsia" w:cstheme="minorBidi"/>
          <w:sz w:val="22"/>
          <w:szCs w:val="22"/>
        </w:rPr>
        <w:tab/>
      </w:r>
      <w:r>
        <w:rPr>
          <w:rStyle w:val="95"/>
        </w:rPr>
        <w:t>Целевые показатели развития системы обращения твердых коммунальных отходов</w:t>
      </w:r>
      <w:r>
        <w:tab/>
      </w:r>
      <w:r>
        <w:fldChar w:fldCharType="begin"/>
      </w:r>
      <w:r>
        <w:instrText xml:space="preserve"> PAGEREF _Toc21015060 \h </w:instrText>
      </w:r>
      <w:r>
        <w:fldChar w:fldCharType="separate"/>
      </w:r>
      <w:r>
        <w:t>132</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"_Toc21015061" </w:instrText>
      </w:r>
      <w:r>
        <w:fldChar w:fldCharType="separate"/>
      </w:r>
      <w:r>
        <w:rPr>
          <w:rStyle w:val="95"/>
        </w:rPr>
        <w:t>5.</w:t>
      </w:r>
      <w:r>
        <w:rPr>
          <w:rFonts w:asciiTheme="minorHAnsi" w:hAnsiTheme="minorHAnsi" w:eastAsiaTheme="minorEastAsia" w:cstheme="minorBidi"/>
          <w:b w:val="0"/>
          <w:caps w:val="0"/>
          <w:spacing w:val="0"/>
          <w:sz w:val="22"/>
          <w:szCs w:val="22"/>
        </w:rPr>
        <w:tab/>
      </w:r>
      <w:r>
        <w:rPr>
          <w:rStyle w:val="95"/>
          <w:rFonts w:ascii="Times New Roman" w:hAnsi="Times New Roman"/>
        </w:rPr>
        <w:t>ПРОГРАММА ИНВЕСТИЦИОННЫХ ПРОЕКТОВ, ОБЕСПЕЧИВАЮЩИХ ДОСТИЖЕНИЕ ЦЕЛЕВЫХ ПОКАЗАТЕЛЕЙ</w:t>
      </w:r>
      <w:r>
        <w:tab/>
      </w:r>
      <w:r>
        <w:fldChar w:fldCharType="begin"/>
      </w:r>
      <w:r>
        <w:instrText xml:space="preserve"> PAGEREF _Toc21015061 \h </w:instrText>
      </w:r>
      <w:r>
        <w:fldChar w:fldCharType="separate"/>
      </w:r>
      <w:r>
        <w:t>133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"_Toc21015062" </w:instrText>
      </w:r>
      <w:r>
        <w:fldChar w:fldCharType="separate"/>
      </w:r>
      <w:r>
        <w:rPr>
          <w:rStyle w:val="95"/>
        </w:rPr>
        <w:t>5.1.</w:t>
      </w:r>
      <w:r>
        <w:rPr>
          <w:rFonts w:asciiTheme="minorHAnsi" w:hAnsiTheme="minorHAnsi" w:eastAsiaTheme="minorEastAsia" w:cstheme="minorBidi"/>
          <w:sz w:val="22"/>
          <w:szCs w:val="22"/>
        </w:rPr>
        <w:tab/>
      </w:r>
      <w:r>
        <w:rPr>
          <w:rStyle w:val="95"/>
        </w:rPr>
        <w:t>Программа инвестиционных проектов в системе теплоснабжения</w:t>
      </w:r>
      <w:r>
        <w:tab/>
      </w:r>
      <w:r>
        <w:fldChar w:fldCharType="begin"/>
      </w:r>
      <w:r>
        <w:instrText xml:space="preserve"> PAGEREF _Toc21015062 \h </w:instrText>
      </w:r>
      <w:r>
        <w:fldChar w:fldCharType="separate"/>
      </w:r>
      <w:r>
        <w:t>133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"_Toc21015063" </w:instrText>
      </w:r>
      <w:r>
        <w:fldChar w:fldCharType="separate"/>
      </w:r>
      <w:r>
        <w:rPr>
          <w:rStyle w:val="95"/>
        </w:rPr>
        <w:t>5.2.</w:t>
      </w:r>
      <w:r>
        <w:rPr>
          <w:rFonts w:asciiTheme="minorHAnsi" w:hAnsiTheme="minorHAnsi" w:eastAsiaTheme="minorEastAsia" w:cstheme="minorBidi"/>
          <w:sz w:val="22"/>
          <w:szCs w:val="22"/>
        </w:rPr>
        <w:tab/>
      </w:r>
      <w:r>
        <w:rPr>
          <w:rStyle w:val="95"/>
        </w:rPr>
        <w:t>Программа инвестиционных проектов в системе водоснабжения</w:t>
      </w:r>
      <w:r>
        <w:tab/>
      </w:r>
      <w:r>
        <w:fldChar w:fldCharType="begin"/>
      </w:r>
      <w:r>
        <w:instrText xml:space="preserve"> PAGEREF _Toc21015063 \h </w:instrText>
      </w:r>
      <w:r>
        <w:fldChar w:fldCharType="separate"/>
      </w:r>
      <w:r>
        <w:t>134</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"_Toc21015064" </w:instrText>
      </w:r>
      <w:r>
        <w:fldChar w:fldCharType="separate"/>
      </w:r>
      <w:r>
        <w:rPr>
          <w:rStyle w:val="95"/>
        </w:rPr>
        <w:t>5.3.</w:t>
      </w:r>
      <w:r>
        <w:rPr>
          <w:rFonts w:asciiTheme="minorHAnsi" w:hAnsiTheme="minorHAnsi" w:eastAsiaTheme="minorEastAsia" w:cstheme="minorBidi"/>
          <w:sz w:val="22"/>
          <w:szCs w:val="22"/>
        </w:rPr>
        <w:tab/>
      </w:r>
      <w:r>
        <w:rPr>
          <w:rStyle w:val="95"/>
        </w:rPr>
        <w:t>Программа инвестиционных проектов в системе водоотведения</w:t>
      </w:r>
      <w:r>
        <w:tab/>
      </w:r>
      <w:r>
        <w:fldChar w:fldCharType="begin"/>
      </w:r>
      <w:r>
        <w:instrText xml:space="preserve"> PAGEREF _Toc21015064 \h </w:instrText>
      </w:r>
      <w:r>
        <w:fldChar w:fldCharType="separate"/>
      </w:r>
      <w:r>
        <w:t>135</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"_Toc21015065" </w:instrText>
      </w:r>
      <w:r>
        <w:fldChar w:fldCharType="separate"/>
      </w:r>
      <w:r>
        <w:rPr>
          <w:rStyle w:val="95"/>
        </w:rPr>
        <w:t>5.4.</w:t>
      </w:r>
      <w:r>
        <w:rPr>
          <w:rFonts w:asciiTheme="minorHAnsi" w:hAnsiTheme="minorHAnsi" w:eastAsiaTheme="minorEastAsia" w:cstheme="minorBidi"/>
          <w:sz w:val="22"/>
          <w:szCs w:val="22"/>
        </w:rPr>
        <w:tab/>
      </w:r>
      <w:r>
        <w:rPr>
          <w:rStyle w:val="95"/>
        </w:rPr>
        <w:t>Программа инвестиционных проектов в системе электроснабжения</w:t>
      </w:r>
      <w:r>
        <w:tab/>
      </w:r>
      <w:r>
        <w:fldChar w:fldCharType="begin"/>
      </w:r>
      <w:r>
        <w:instrText xml:space="preserve"> PAGEREF _Toc21015065 \h </w:instrText>
      </w:r>
      <w:r>
        <w:fldChar w:fldCharType="separate"/>
      </w:r>
      <w:r>
        <w:t>136</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"_Toc21015066" </w:instrText>
      </w:r>
      <w:r>
        <w:fldChar w:fldCharType="separate"/>
      </w:r>
      <w:r>
        <w:rPr>
          <w:rStyle w:val="95"/>
        </w:rPr>
        <w:t>5.5.</w:t>
      </w:r>
      <w:r>
        <w:rPr>
          <w:rFonts w:asciiTheme="minorHAnsi" w:hAnsiTheme="minorHAnsi" w:eastAsiaTheme="minorEastAsia" w:cstheme="minorBidi"/>
          <w:sz w:val="22"/>
          <w:szCs w:val="22"/>
        </w:rPr>
        <w:tab/>
      </w:r>
      <w:r>
        <w:rPr>
          <w:rStyle w:val="95"/>
        </w:rPr>
        <w:t>Программа инвестиционных проектов в системе газоснабжения</w:t>
      </w:r>
      <w:r>
        <w:tab/>
      </w:r>
      <w:r>
        <w:fldChar w:fldCharType="begin"/>
      </w:r>
      <w:r>
        <w:instrText xml:space="preserve"> PAGEREF _Toc21015066 \h </w:instrText>
      </w:r>
      <w:r>
        <w:fldChar w:fldCharType="separate"/>
      </w:r>
      <w:r>
        <w:t>137</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"_Toc21015067" </w:instrText>
      </w:r>
      <w:r>
        <w:fldChar w:fldCharType="separate"/>
      </w:r>
      <w:r>
        <w:rPr>
          <w:rStyle w:val="95"/>
        </w:rPr>
        <w:t>5.6.</w:t>
      </w:r>
      <w:r>
        <w:rPr>
          <w:rFonts w:asciiTheme="minorHAnsi" w:hAnsiTheme="minorHAnsi" w:eastAsiaTheme="minorEastAsia" w:cstheme="minorBidi"/>
          <w:sz w:val="22"/>
          <w:szCs w:val="22"/>
        </w:rPr>
        <w:tab/>
      </w:r>
      <w:r>
        <w:rPr>
          <w:rStyle w:val="95"/>
        </w:rPr>
        <w:t>Программа инвестиционных проектов в системе обращения ТКО</w:t>
      </w:r>
      <w:r>
        <w:tab/>
      </w:r>
      <w:r>
        <w:fldChar w:fldCharType="begin"/>
      </w:r>
      <w:r>
        <w:instrText xml:space="preserve"> PAGEREF _Toc21015067 \h </w:instrText>
      </w:r>
      <w:r>
        <w:fldChar w:fldCharType="separate"/>
      </w:r>
      <w:r>
        <w:t>140</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"_Toc21015068" </w:instrText>
      </w:r>
      <w:r>
        <w:fldChar w:fldCharType="separate"/>
      </w:r>
      <w:r>
        <w:rPr>
          <w:rStyle w:val="95"/>
        </w:rPr>
        <w:t>5.7.</w:t>
      </w:r>
      <w:r>
        <w:rPr>
          <w:rFonts w:asciiTheme="minorHAnsi" w:hAnsiTheme="minorHAnsi" w:eastAsiaTheme="minorEastAsia" w:cstheme="minorBidi"/>
          <w:sz w:val="22"/>
          <w:szCs w:val="22"/>
        </w:rPr>
        <w:tab/>
      </w:r>
      <w:r>
        <w:rPr>
          <w:rStyle w:val="95"/>
        </w:rPr>
        <w:t>Взаимосвязанность проектов</w:t>
      </w:r>
      <w:r>
        <w:tab/>
      </w:r>
      <w:r>
        <w:fldChar w:fldCharType="begin"/>
      </w:r>
      <w:r>
        <w:instrText xml:space="preserve"> PAGEREF _Toc21015068 \h </w:instrText>
      </w:r>
      <w:r>
        <w:fldChar w:fldCharType="separate"/>
      </w:r>
      <w:r>
        <w:t>141</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"_Toc21015069" </w:instrText>
      </w:r>
      <w:r>
        <w:fldChar w:fldCharType="separate"/>
      </w:r>
      <w:r>
        <w:rPr>
          <w:rStyle w:val="95"/>
        </w:rPr>
        <w:t>6.</w:t>
      </w:r>
      <w:r>
        <w:rPr>
          <w:rFonts w:asciiTheme="minorHAnsi" w:hAnsiTheme="minorHAnsi" w:eastAsiaTheme="minorEastAsia" w:cstheme="minorBidi"/>
          <w:b w:val="0"/>
          <w:caps w:val="0"/>
          <w:spacing w:val="0"/>
          <w:sz w:val="22"/>
          <w:szCs w:val="22"/>
        </w:rPr>
        <w:tab/>
      </w:r>
      <w:r>
        <w:rPr>
          <w:rStyle w:val="95"/>
          <w:rFonts w:ascii="Times New Roman" w:hAnsi="Times New Roman"/>
        </w:rPr>
        <w:t>ИСТОЧНИКИ ИНВЕСТИЦИЙ, ТАРИФЫ И ДОСТУПНОСТЬ ПРОГРАММЫ ДЛЯ НАСЕЛЕНИЯ</w:t>
      </w:r>
      <w:r>
        <w:tab/>
      </w:r>
      <w:r>
        <w:fldChar w:fldCharType="begin"/>
      </w:r>
      <w:r>
        <w:instrText xml:space="preserve"> PAGEREF _Toc21015069 \h </w:instrText>
      </w:r>
      <w:r>
        <w:fldChar w:fldCharType="separate"/>
      </w:r>
      <w:r>
        <w:t>143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"_Toc21015070" </w:instrText>
      </w:r>
      <w:r>
        <w:fldChar w:fldCharType="separate"/>
      </w:r>
      <w:r>
        <w:rPr>
          <w:rStyle w:val="95"/>
        </w:rPr>
        <w:t>6.1.</w:t>
      </w:r>
      <w:r>
        <w:rPr>
          <w:rFonts w:asciiTheme="minorHAnsi" w:hAnsiTheme="minorHAnsi" w:eastAsiaTheme="minorEastAsia" w:cstheme="minorBidi"/>
          <w:sz w:val="22"/>
          <w:szCs w:val="22"/>
        </w:rPr>
        <w:tab/>
      </w:r>
      <w:r>
        <w:rPr>
          <w:rStyle w:val="95"/>
        </w:rPr>
        <w:t>Источники инвестиций</w:t>
      </w:r>
      <w:r>
        <w:tab/>
      </w:r>
      <w:r>
        <w:fldChar w:fldCharType="begin"/>
      </w:r>
      <w:r>
        <w:instrText xml:space="preserve"> PAGEREF _Toc21015070 \h </w:instrText>
      </w:r>
      <w:r>
        <w:fldChar w:fldCharType="separate"/>
      </w:r>
      <w:r>
        <w:t>143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"_Toc21015071" </w:instrText>
      </w:r>
      <w:r>
        <w:fldChar w:fldCharType="separate"/>
      </w:r>
      <w:r>
        <w:rPr>
          <w:rStyle w:val="95"/>
        </w:rPr>
        <w:t>6.2.</w:t>
      </w:r>
      <w:r>
        <w:rPr>
          <w:rFonts w:asciiTheme="minorHAnsi" w:hAnsiTheme="minorHAnsi" w:eastAsiaTheme="minorEastAsia" w:cstheme="minorBidi"/>
          <w:sz w:val="22"/>
          <w:szCs w:val="22"/>
        </w:rPr>
        <w:tab/>
      </w:r>
      <w:r>
        <w:rPr>
          <w:rStyle w:val="95"/>
        </w:rPr>
        <w:t>Тариф и плата за подключение (технологическое присоединение)</w:t>
      </w:r>
      <w:r>
        <w:tab/>
      </w:r>
      <w:r>
        <w:fldChar w:fldCharType="begin"/>
      </w:r>
      <w:r>
        <w:instrText xml:space="preserve"> PAGEREF _Toc21015071 \h </w:instrText>
      </w:r>
      <w:r>
        <w:fldChar w:fldCharType="separate"/>
      </w:r>
      <w:r>
        <w:t>156</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"_Toc21015072" </w:instrText>
      </w:r>
      <w:r>
        <w:fldChar w:fldCharType="separate"/>
      </w:r>
      <w:r>
        <w:rPr>
          <w:rStyle w:val="95"/>
        </w:rPr>
        <w:t>6.3.</w:t>
      </w:r>
      <w:r>
        <w:rPr>
          <w:rFonts w:asciiTheme="minorHAnsi" w:hAnsiTheme="minorHAnsi" w:eastAsiaTheme="minorEastAsia" w:cstheme="minorBidi"/>
          <w:sz w:val="22"/>
          <w:szCs w:val="22"/>
        </w:rPr>
        <w:tab/>
      </w:r>
      <w:r>
        <w:rPr>
          <w:rStyle w:val="95"/>
        </w:rPr>
        <w:t>Проверка доступности тарифов на коммунальные услуги</w:t>
      </w:r>
      <w:r>
        <w:tab/>
      </w:r>
      <w:r>
        <w:fldChar w:fldCharType="begin"/>
      </w:r>
      <w:r>
        <w:instrText xml:space="preserve"> PAGEREF _Toc21015072 \h </w:instrText>
      </w:r>
      <w:r>
        <w:fldChar w:fldCharType="separate"/>
      </w:r>
      <w:r>
        <w:t>157</w:t>
      </w:r>
      <w:r>
        <w:fldChar w:fldCharType="end"/>
      </w:r>
      <w:r>
        <w:fldChar w:fldCharType="end"/>
      </w:r>
    </w:p>
    <w:p>
      <w:pPr>
        <w:pStyle w:val="47"/>
        <w:rPr>
          <w:rFonts w:asciiTheme="minorHAnsi" w:hAnsiTheme="minorHAnsi" w:eastAsiaTheme="minorEastAsia" w:cstheme="minorBidi"/>
          <w:b w:val="0"/>
          <w:caps w:val="0"/>
          <w:spacing w:val="0"/>
          <w:sz w:val="22"/>
          <w:szCs w:val="22"/>
        </w:rPr>
      </w:pPr>
      <w:r>
        <w:fldChar w:fldCharType="begin"/>
      </w:r>
      <w:r>
        <w:instrText xml:space="preserve"> HYPERLINK \l "_Toc21015073" </w:instrText>
      </w:r>
      <w:r>
        <w:fldChar w:fldCharType="separate"/>
      </w:r>
      <w:r>
        <w:rPr>
          <w:rStyle w:val="95"/>
        </w:rPr>
        <w:t>7.</w:t>
      </w:r>
      <w:r>
        <w:rPr>
          <w:rFonts w:asciiTheme="minorHAnsi" w:hAnsiTheme="minorHAnsi" w:eastAsiaTheme="minorEastAsia" w:cstheme="minorBidi"/>
          <w:b w:val="0"/>
          <w:caps w:val="0"/>
          <w:spacing w:val="0"/>
          <w:sz w:val="22"/>
          <w:szCs w:val="22"/>
        </w:rPr>
        <w:tab/>
      </w:r>
      <w:r>
        <w:rPr>
          <w:rStyle w:val="95"/>
          <w:rFonts w:ascii="Times New Roman" w:hAnsi="Times New Roman"/>
        </w:rPr>
        <w:t>УПРАВЛЕНИЕ ПРОГРАММОЙ</w:t>
      </w:r>
      <w:r>
        <w:tab/>
      </w:r>
      <w:r>
        <w:fldChar w:fldCharType="begin"/>
      </w:r>
      <w:r>
        <w:instrText xml:space="preserve"> PAGEREF _Toc21015073 \h </w:instrText>
      </w:r>
      <w:r>
        <w:fldChar w:fldCharType="separate"/>
      </w:r>
      <w:r>
        <w:t>163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"_Toc21015074" </w:instrText>
      </w:r>
      <w:r>
        <w:fldChar w:fldCharType="separate"/>
      </w:r>
      <w:r>
        <w:rPr>
          <w:rStyle w:val="95"/>
        </w:rPr>
        <w:t>7.1.</w:t>
      </w:r>
      <w:r>
        <w:rPr>
          <w:rFonts w:asciiTheme="minorHAnsi" w:hAnsiTheme="minorHAnsi" w:eastAsiaTheme="minorEastAsia" w:cstheme="minorBidi"/>
          <w:sz w:val="22"/>
          <w:szCs w:val="22"/>
        </w:rPr>
        <w:tab/>
      </w:r>
      <w:r>
        <w:rPr>
          <w:rStyle w:val="95"/>
        </w:rPr>
        <w:t>Ответственные за реализацию Программы</w:t>
      </w:r>
      <w:r>
        <w:tab/>
      </w:r>
      <w:r>
        <w:fldChar w:fldCharType="begin"/>
      </w:r>
      <w:r>
        <w:instrText xml:space="preserve"> PAGEREF _Toc21015074 \h </w:instrText>
      </w:r>
      <w:r>
        <w:fldChar w:fldCharType="separate"/>
      </w:r>
      <w:r>
        <w:t>163</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"_Toc21015075" </w:instrText>
      </w:r>
      <w:r>
        <w:fldChar w:fldCharType="separate"/>
      </w:r>
      <w:r>
        <w:rPr>
          <w:rStyle w:val="95"/>
        </w:rPr>
        <w:t>7.2.</w:t>
      </w:r>
      <w:r>
        <w:rPr>
          <w:rFonts w:asciiTheme="minorHAnsi" w:hAnsiTheme="minorHAnsi" w:eastAsiaTheme="minorEastAsia" w:cstheme="minorBidi"/>
          <w:sz w:val="22"/>
          <w:szCs w:val="22"/>
        </w:rPr>
        <w:tab/>
      </w:r>
      <w:r>
        <w:rPr>
          <w:rStyle w:val="95"/>
        </w:rPr>
        <w:t>План-график работ по реализации Программы</w:t>
      </w:r>
      <w:r>
        <w:tab/>
      </w:r>
      <w:r>
        <w:fldChar w:fldCharType="begin"/>
      </w:r>
      <w:r>
        <w:instrText xml:space="preserve"> PAGEREF _Toc21015075 \h </w:instrText>
      </w:r>
      <w:r>
        <w:fldChar w:fldCharType="separate"/>
      </w:r>
      <w:r>
        <w:t>164</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"_Toc21015076" </w:instrText>
      </w:r>
      <w:r>
        <w:fldChar w:fldCharType="separate"/>
      </w:r>
      <w:r>
        <w:rPr>
          <w:rStyle w:val="95"/>
        </w:rPr>
        <w:t>7.3.</w:t>
      </w:r>
      <w:r>
        <w:rPr>
          <w:rFonts w:asciiTheme="minorHAnsi" w:hAnsiTheme="minorHAnsi" w:eastAsiaTheme="minorEastAsia" w:cstheme="minorBidi"/>
          <w:sz w:val="22"/>
          <w:szCs w:val="22"/>
        </w:rPr>
        <w:tab/>
      </w:r>
      <w:r>
        <w:rPr>
          <w:rStyle w:val="95"/>
        </w:rPr>
        <w:t>Порядок предоставления отчетности по выполнению Программы</w:t>
      </w:r>
      <w:r>
        <w:tab/>
      </w:r>
      <w:r>
        <w:fldChar w:fldCharType="begin"/>
      </w:r>
      <w:r>
        <w:instrText xml:space="preserve"> PAGEREF _Toc21015076 \h </w:instrText>
      </w:r>
      <w:r>
        <w:fldChar w:fldCharType="separate"/>
      </w:r>
      <w:r>
        <w:t>165</w:t>
      </w:r>
      <w:r>
        <w:fldChar w:fldCharType="end"/>
      </w:r>
      <w:r>
        <w:fldChar w:fldCharType="end"/>
      </w:r>
    </w:p>
    <w:p>
      <w:pPr>
        <w:pStyle w:val="53"/>
        <w:rPr>
          <w:rFonts w:asciiTheme="minorHAnsi" w:hAnsiTheme="minorHAnsi" w:eastAsiaTheme="minorEastAsia" w:cstheme="minorBidi"/>
          <w:sz w:val="22"/>
          <w:szCs w:val="22"/>
        </w:rPr>
      </w:pPr>
      <w:r>
        <w:fldChar w:fldCharType="begin"/>
      </w:r>
      <w:r>
        <w:instrText xml:space="preserve"> HYPERLINK \l "_Toc21015077" </w:instrText>
      </w:r>
      <w:r>
        <w:fldChar w:fldCharType="separate"/>
      </w:r>
      <w:r>
        <w:rPr>
          <w:rStyle w:val="95"/>
        </w:rPr>
        <w:t>7.4.</w:t>
      </w:r>
      <w:r>
        <w:rPr>
          <w:rFonts w:asciiTheme="minorHAnsi" w:hAnsiTheme="minorHAnsi" w:eastAsiaTheme="minorEastAsia" w:cstheme="minorBidi"/>
          <w:sz w:val="22"/>
          <w:szCs w:val="22"/>
        </w:rPr>
        <w:tab/>
      </w:r>
      <w:r>
        <w:rPr>
          <w:rStyle w:val="95"/>
        </w:rPr>
        <w:t>Порядок и сроки корректировки Программы</w:t>
      </w:r>
      <w:r>
        <w:tab/>
      </w:r>
      <w:r>
        <w:fldChar w:fldCharType="begin"/>
      </w:r>
      <w:r>
        <w:instrText xml:space="preserve"> PAGEREF _Toc21015077 \h </w:instrText>
      </w:r>
      <w:r>
        <w:fldChar w:fldCharType="separate"/>
      </w:r>
      <w:r>
        <w:t>167</w:t>
      </w:r>
      <w:r>
        <w:fldChar w:fldCharType="end"/>
      </w:r>
      <w:r>
        <w:fldChar w:fldCharType="end"/>
      </w:r>
    </w:p>
    <w:p>
      <w:pPr>
        <w:pStyle w:val="47"/>
      </w:pPr>
      <w:r>
        <w:fldChar w:fldCharType="end"/>
      </w:r>
    </w:p>
    <w:p>
      <w:pPr>
        <w:pStyle w:val="2"/>
        <w:numPr>
          <w:ilvl w:val="0"/>
          <w:numId w:val="30"/>
        </w:numPr>
        <w:ind w:left="448" w:hanging="448"/>
        <w:rPr>
          <w:rFonts w:ascii="Times New Roman" w:hAnsi="Times New Roman"/>
        </w:rPr>
        <w:sectPr>
          <w:headerReference r:id="rId8" w:type="default"/>
          <w:pgSz w:w="11906" w:h="16838"/>
          <w:pgMar w:top="1276" w:right="1133" w:bottom="1134" w:left="1701" w:header="708" w:footer="708" w:gutter="0"/>
          <w:cols w:space="708" w:num="1"/>
          <w:docGrid w:linePitch="360" w:charSpace="0"/>
        </w:sectPr>
      </w:pPr>
    </w:p>
    <w:p>
      <w:pPr>
        <w:pStyle w:val="2"/>
        <w:numPr>
          <w:ilvl w:val="0"/>
          <w:numId w:val="30"/>
        </w:numPr>
        <w:spacing w:after="240"/>
        <w:ind w:left="448" w:hanging="448"/>
        <w:rPr>
          <w:sz w:val="30"/>
          <w:szCs w:val="30"/>
        </w:rPr>
      </w:pPr>
      <w:bookmarkStart w:id="6" w:name="_Toc21015026"/>
      <w:r>
        <w:rPr>
          <w:rFonts w:ascii="Times New Roman" w:hAnsi="Times New Roman"/>
          <w:sz w:val="30"/>
          <w:szCs w:val="30"/>
        </w:rPr>
        <w:t>ПАСПОРТ ПРОГРАММЫ</w:t>
      </w:r>
      <w:bookmarkEnd w:id="6"/>
    </w:p>
    <w:tbl>
      <w:tblPr>
        <w:tblStyle w:val="10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5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 xml:space="preserve">Наименование программы </w:t>
            </w:r>
          </w:p>
        </w:tc>
        <w:tc>
          <w:tcPr>
            <w:tcW w:w="5845" w:type="dxa"/>
            <w:shd w:val="clear" w:color="auto" w:fill="auto"/>
            <w:vAlign w:val="center"/>
          </w:tcPr>
          <w:p>
            <w:pPr>
              <w:spacing w:before="20" w:after="20"/>
            </w:pPr>
            <w:r>
              <w:t xml:space="preserve">Программа комплексного развития систем коммунальной инфраструктуры территориального управления Одинцово Одинцовского городского округа до 2029 года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 xml:space="preserve">Ответственный </w:t>
            </w:r>
          </w:p>
          <w:p>
            <w:pPr>
              <w:spacing w:before="20" w:after="20"/>
              <w:rPr>
                <w:b/>
              </w:rPr>
            </w:pPr>
            <w:r>
              <w:rPr>
                <w:b/>
              </w:rPr>
              <w:t xml:space="preserve">исполнитель </w:t>
            </w:r>
          </w:p>
        </w:tc>
        <w:tc>
          <w:tcPr>
            <w:tcW w:w="5845" w:type="dxa"/>
            <w:shd w:val="clear" w:color="auto" w:fill="auto"/>
            <w:vAlign w:val="center"/>
          </w:tcPr>
          <w:p>
            <w:pPr>
              <w:pStyle w:val="561"/>
              <w:spacing w:before="20" w:after="20"/>
              <w:jc w:val="left"/>
              <w:rPr>
                <w:rFonts w:ascii="Times New Roman" w:hAnsi="Times New Roman"/>
                <w:lang w:eastAsia="ar-SA"/>
              </w:rPr>
            </w:pPr>
            <w:r>
              <w:rPr>
                <w:rFonts w:ascii="Times New Roman" w:hAnsi="Times New Roman"/>
                <w:lang w:eastAsia="ar-SA"/>
              </w:rPr>
              <w:t>А</w:t>
            </w:r>
            <w:r>
              <w:rPr>
                <w:rFonts w:ascii="Times New Roman" w:hAnsi="Times New Roman"/>
                <w:spacing w:val="5"/>
              </w:rPr>
              <w:t xml:space="preserve">дминистрация </w:t>
            </w:r>
            <w:r>
              <w:rPr>
                <w:rFonts w:ascii="Times New Roman" w:hAnsi="Times New Roman"/>
              </w:rPr>
              <w:t>территориального управления Одинцово Одинцовского городского округа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Соисполнители</w:t>
            </w:r>
          </w:p>
        </w:tc>
        <w:tc>
          <w:tcPr>
            <w:tcW w:w="5845" w:type="dxa"/>
            <w:shd w:val="clear" w:color="auto" w:fill="auto"/>
            <w:vAlign w:val="center"/>
          </w:tcPr>
          <w:p>
            <w:pPr>
              <w:spacing w:before="20" w:after="20"/>
            </w:pPr>
            <w:r>
              <w:t>Ресурсоснабжающие организации территориального управления Одинцово Одинцовского городского округа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 xml:space="preserve">Цели программы </w:t>
            </w:r>
          </w:p>
        </w:tc>
        <w:tc>
          <w:tcPr>
            <w:tcW w:w="5845" w:type="dxa"/>
            <w:shd w:val="clear" w:color="auto" w:fill="auto"/>
            <w:vAlign w:val="center"/>
          </w:tcPr>
          <w:p>
            <w:pPr>
              <w:numPr>
                <w:ilvl w:val="0"/>
                <w:numId w:val="31"/>
              </w:numPr>
              <w:spacing w:before="20" w:after="20"/>
              <w:ind w:left="317" w:hanging="317"/>
            </w:pPr>
            <w:r>
              <w:t>повышение надежности ресурсоснабжения;</w:t>
            </w:r>
          </w:p>
          <w:p>
            <w:pPr>
              <w:numPr>
                <w:ilvl w:val="0"/>
                <w:numId w:val="31"/>
              </w:numPr>
              <w:spacing w:before="20" w:after="20"/>
              <w:ind w:left="317" w:hanging="317"/>
            </w:pPr>
            <w:r>
              <w:t>присоединение новых потребителей;</w:t>
            </w:r>
          </w:p>
          <w:p>
            <w:pPr>
              <w:numPr>
                <w:ilvl w:val="0"/>
                <w:numId w:val="31"/>
              </w:numPr>
              <w:spacing w:before="20" w:after="20"/>
              <w:ind w:left="317" w:hanging="317"/>
            </w:pPr>
            <w:r>
              <w:t>выполнение экологических требований;</w:t>
            </w:r>
          </w:p>
          <w:p>
            <w:pPr>
              <w:numPr>
                <w:ilvl w:val="0"/>
                <w:numId w:val="31"/>
              </w:numPr>
              <w:spacing w:before="20" w:after="20"/>
              <w:ind w:left="317" w:hanging="317"/>
            </w:pPr>
            <w:r>
              <w:t xml:space="preserve">выполнение требований законодательства в сфере энергосбережения  и повышения энергетической эффективности.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 xml:space="preserve">Задачи программы </w:t>
            </w:r>
          </w:p>
        </w:tc>
        <w:tc>
          <w:tcPr>
            <w:tcW w:w="5845" w:type="dxa"/>
            <w:shd w:val="clear" w:color="auto" w:fill="auto"/>
            <w:vAlign w:val="center"/>
          </w:tcPr>
          <w:p>
            <w:pPr>
              <w:numPr>
                <w:ilvl w:val="0"/>
                <w:numId w:val="31"/>
              </w:numPr>
              <w:spacing w:before="20" w:after="20"/>
              <w:ind w:left="317" w:hanging="317"/>
            </w:pPr>
            <w:r>
              <w:t>обеспечение инвестиционной привлекательности коммунальной инфраструктуры;</w:t>
            </w:r>
          </w:p>
          <w:p>
            <w:pPr>
              <w:numPr>
                <w:ilvl w:val="0"/>
                <w:numId w:val="31"/>
              </w:numPr>
              <w:spacing w:before="20" w:after="20"/>
              <w:ind w:left="317" w:hanging="317"/>
            </w:pPr>
            <w:r>
              <w:t xml:space="preserve">определение перечня инвестиционных проектов; </w:t>
            </w:r>
          </w:p>
          <w:p>
            <w:pPr>
              <w:numPr>
                <w:ilvl w:val="0"/>
                <w:numId w:val="31"/>
              </w:numPr>
              <w:spacing w:before="20" w:after="20"/>
              <w:ind w:left="317" w:hanging="317"/>
            </w:pPr>
            <w:r>
              <w:t>определение объемов и стоимости инвестиционных проектов;</w:t>
            </w:r>
          </w:p>
          <w:p>
            <w:pPr>
              <w:numPr>
                <w:ilvl w:val="0"/>
                <w:numId w:val="31"/>
              </w:numPr>
              <w:spacing w:before="20" w:after="20"/>
              <w:ind w:left="317" w:hanging="317"/>
            </w:pPr>
            <w:r>
              <w:t>определение эффектов в натуральном и стоимостном выражении, получаемых в результате реализации инвестиционных проектов;</w:t>
            </w:r>
          </w:p>
          <w:p>
            <w:pPr>
              <w:numPr>
                <w:ilvl w:val="0"/>
                <w:numId w:val="31"/>
              </w:numPr>
              <w:spacing w:before="20" w:after="20"/>
              <w:ind w:left="317" w:hanging="317"/>
            </w:pPr>
            <w:r>
              <w:t>обеспечение потребителей надёжными и качественными коммунальными услугами;</w:t>
            </w:r>
          </w:p>
          <w:p>
            <w:pPr>
              <w:numPr>
                <w:ilvl w:val="0"/>
                <w:numId w:val="31"/>
              </w:numPr>
              <w:spacing w:before="20" w:after="20"/>
              <w:ind w:left="317" w:hanging="317"/>
            </w:pPr>
            <w:r>
              <w:t>приведение в соответствие систем коммунальной инфраструктуры потребностям строительства;</w:t>
            </w:r>
          </w:p>
          <w:p>
            <w:pPr>
              <w:numPr>
                <w:ilvl w:val="0"/>
                <w:numId w:val="31"/>
              </w:numPr>
              <w:spacing w:before="20" w:after="20"/>
              <w:ind w:left="317" w:hanging="317"/>
            </w:pPr>
            <w:r>
              <w:t>повышения рыночной стоимости, экономической и энергетической эффективности коммунального муниципалного имущества;</w:t>
            </w:r>
          </w:p>
          <w:p>
            <w:pPr>
              <w:numPr>
                <w:ilvl w:val="0"/>
                <w:numId w:val="31"/>
              </w:numPr>
              <w:spacing w:before="20" w:after="20"/>
              <w:ind w:left="317" w:hanging="317"/>
            </w:pPr>
            <w:r>
              <w:t>повышение рыночной стоимости жилого фонда;</w:t>
            </w:r>
          </w:p>
          <w:p>
            <w:pPr>
              <w:numPr>
                <w:ilvl w:val="0"/>
                <w:numId w:val="31"/>
              </w:numPr>
              <w:spacing w:before="20" w:after="20"/>
              <w:ind w:left="317" w:hanging="317"/>
            </w:pPr>
            <w:r>
              <w:t>снижение экологической нагрузки;</w:t>
            </w:r>
          </w:p>
          <w:p>
            <w:pPr>
              <w:numPr>
                <w:ilvl w:val="0"/>
                <w:numId w:val="31"/>
              </w:numPr>
              <w:spacing w:before="20" w:after="20"/>
              <w:ind w:left="317" w:hanging="317"/>
            </w:pPr>
            <w:r>
              <w:t>внедрение современных технологий в процессы производства, транспорта и распределения коммунальных ресурсов.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3369" w:type="dxa"/>
            <w:shd w:val="clear" w:color="auto" w:fill="auto"/>
            <w:vAlign w:val="center"/>
          </w:tcPr>
          <w:p>
            <w:pPr>
              <w:spacing w:before="20" w:after="20"/>
              <w:rPr>
                <w:b/>
              </w:rPr>
            </w:pPr>
            <w:r>
              <w:rPr>
                <w:b/>
              </w:rPr>
              <w:t xml:space="preserve">Целевые показатели </w:t>
            </w:r>
          </w:p>
          <w:p>
            <w:pPr>
              <w:spacing w:before="20" w:after="20"/>
              <w:rPr>
                <w:b/>
              </w:rPr>
            </w:pPr>
            <w:r>
              <w:rPr>
                <w:b/>
              </w:rPr>
              <w:t xml:space="preserve">программы </w:t>
            </w:r>
          </w:p>
        </w:tc>
        <w:tc>
          <w:tcPr>
            <w:tcW w:w="5845" w:type="dxa"/>
            <w:shd w:val="clear" w:color="auto" w:fill="auto"/>
            <w:vAlign w:val="center"/>
          </w:tcPr>
          <w:p>
            <w:pPr>
              <w:spacing w:before="20" w:after="20"/>
            </w:pPr>
            <w:r>
              <w:t xml:space="preserve">К концу 2029 г. реализации Программы планируется достичь следующих целевых показателей: </w:t>
            </w:r>
          </w:p>
          <w:p>
            <w:pPr>
              <w:spacing w:before="20" w:after="20"/>
              <w:rPr>
                <w:i/>
              </w:rPr>
            </w:pPr>
            <w:r>
              <w:rPr>
                <w:i/>
              </w:rPr>
              <w:t xml:space="preserve">Система теплоснабженя: </w:t>
            </w:r>
          </w:p>
          <w:p>
            <w:pPr>
              <w:numPr>
                <w:ilvl w:val="0"/>
                <w:numId w:val="32"/>
              </w:numPr>
              <w:spacing w:before="20" w:after="20"/>
              <w:ind w:left="317" w:hanging="284"/>
            </w:pPr>
            <w:r>
              <w:t>доля потерь тепловой энергии – 5,3%;</w:t>
            </w:r>
          </w:p>
          <w:p>
            <w:pPr>
              <w:numPr>
                <w:ilvl w:val="0"/>
                <w:numId w:val="32"/>
              </w:numPr>
              <w:spacing w:before="20" w:after="20"/>
              <w:ind w:left="317" w:hanging="284"/>
            </w:pPr>
            <w:r>
              <w:t>удельный расход топлива на производство тепловой энергии – 155,1 кгут/Гкал;</w:t>
            </w:r>
          </w:p>
          <w:p>
            <w:pPr>
              <w:numPr>
                <w:ilvl w:val="0"/>
                <w:numId w:val="32"/>
              </w:numPr>
              <w:spacing w:before="20" w:after="20"/>
              <w:ind w:left="317" w:hanging="284"/>
            </w:pPr>
            <w:r>
              <w:t>доля отпуска тепловой энергии на отопление, счета за которую выставлены по приборам учета – 91,4%;</w:t>
            </w:r>
          </w:p>
          <w:p>
            <w:pPr>
              <w:numPr>
                <w:ilvl w:val="0"/>
                <w:numId w:val="32"/>
              </w:numPr>
              <w:spacing w:before="20" w:after="20"/>
              <w:ind w:left="317" w:hanging="284"/>
            </w:pPr>
            <w:r>
              <w:t xml:space="preserve">доля отпуска тепловой энергии на ГВС, счета за которую выставлены по приборам учета – 94,5%. </w:t>
            </w:r>
          </w:p>
          <w:p>
            <w:pPr>
              <w:spacing w:before="20" w:after="20"/>
              <w:rPr>
                <w:i/>
              </w:rPr>
            </w:pPr>
            <w:r>
              <w:rPr>
                <w:i/>
              </w:rPr>
              <w:t>Система водоснабжения:</w:t>
            </w:r>
          </w:p>
          <w:p>
            <w:pPr>
              <w:numPr>
                <w:ilvl w:val="0"/>
                <w:numId w:val="33"/>
              </w:numPr>
              <w:spacing w:before="20" w:after="20"/>
              <w:ind w:left="317" w:hanging="317"/>
            </w:pPr>
            <w:r>
              <w:t>удельный расход электроэнергии на подъем транспортировку воды – 0,29 кВт-ч/м</w:t>
            </w:r>
            <w:r>
              <w:rPr>
                <w:vertAlign w:val="superscript"/>
              </w:rPr>
              <w:t>3</w:t>
            </w:r>
            <w:r>
              <w:t>;</w:t>
            </w:r>
          </w:p>
          <w:p>
            <w:pPr>
              <w:numPr>
                <w:ilvl w:val="0"/>
                <w:numId w:val="33"/>
              </w:numPr>
              <w:spacing w:before="20" w:after="20"/>
              <w:ind w:left="317" w:hanging="317"/>
            </w:pPr>
            <w:r>
              <w:t>удельное водопотребление – 37,5 м</w:t>
            </w:r>
            <w:r>
              <w:rPr>
                <w:vertAlign w:val="superscript"/>
              </w:rPr>
              <w:t>3</w:t>
            </w:r>
            <w:r>
              <w:t>/чел. в год;</w:t>
            </w:r>
          </w:p>
          <w:p>
            <w:pPr>
              <w:numPr>
                <w:ilvl w:val="0"/>
                <w:numId w:val="33"/>
              </w:numPr>
              <w:spacing w:before="20" w:after="20"/>
              <w:ind w:left="317" w:hanging="317"/>
            </w:pPr>
            <w:r>
              <w:t>доля объема отпуска воды, счета за которую выставлены по приборам учета – 100%;</w:t>
            </w:r>
          </w:p>
          <w:p>
            <w:pPr>
              <w:numPr>
                <w:ilvl w:val="0"/>
                <w:numId w:val="33"/>
              </w:numPr>
              <w:spacing w:before="20" w:after="20"/>
              <w:ind w:left="317" w:hanging="317"/>
            </w:pPr>
            <w:r>
              <w:t>доля потерь воды в сетях – 6,3%.</w:t>
            </w:r>
          </w:p>
          <w:p>
            <w:pPr>
              <w:spacing w:before="20" w:after="20"/>
              <w:rPr>
                <w:i/>
              </w:rPr>
            </w:pPr>
            <w:r>
              <w:rPr>
                <w:i/>
              </w:rPr>
              <w:t xml:space="preserve">Система водоотведения: </w:t>
            </w:r>
          </w:p>
          <w:p>
            <w:pPr>
              <w:numPr>
                <w:ilvl w:val="0"/>
                <w:numId w:val="34"/>
              </w:numPr>
              <w:spacing w:before="20" w:after="20"/>
              <w:ind w:left="317" w:hanging="317"/>
            </w:pPr>
            <w:r>
              <w:t>доля сточных вод, не подвергшихся очистке – 0,0%;</w:t>
            </w:r>
          </w:p>
          <w:p>
            <w:pPr>
              <w:numPr>
                <w:ilvl w:val="0"/>
                <w:numId w:val="34"/>
              </w:numPr>
              <w:spacing w:before="20" w:after="20"/>
              <w:ind w:left="317" w:hanging="317"/>
            </w:pPr>
            <w:r>
              <w:t>удельный расход электроэнергии на очистку и транспортировку 1 м</w:t>
            </w:r>
            <w:r>
              <w:rPr>
                <w:vertAlign w:val="superscript"/>
              </w:rPr>
              <w:t>3</w:t>
            </w:r>
            <w:r>
              <w:t xml:space="preserve"> стоков – 0,26 кВт-ч/м</w:t>
            </w:r>
            <w:r>
              <w:rPr>
                <w:vertAlign w:val="superscript"/>
              </w:rPr>
              <w:t>3</w:t>
            </w:r>
            <w:r>
              <w:t>;</w:t>
            </w:r>
          </w:p>
          <w:p>
            <w:pPr>
              <w:numPr>
                <w:ilvl w:val="0"/>
                <w:numId w:val="34"/>
              </w:numPr>
              <w:spacing w:before="20" w:after="20"/>
              <w:ind w:left="317" w:hanging="317"/>
            </w:pPr>
            <w:r>
              <w:t xml:space="preserve">удельное количество аварий и засоров в расчете на протяженность канализационной сети в год – 0,92 ед./км. </w:t>
            </w:r>
          </w:p>
          <w:p>
            <w:pPr>
              <w:spacing w:before="20" w:after="20"/>
              <w:rPr>
                <w:i/>
              </w:rPr>
            </w:pPr>
            <w:r>
              <w:rPr>
                <w:i/>
              </w:rPr>
              <w:t xml:space="preserve">Система электроснабжения: </w:t>
            </w:r>
          </w:p>
          <w:p>
            <w:pPr>
              <w:numPr>
                <w:ilvl w:val="0"/>
                <w:numId w:val="35"/>
              </w:numPr>
              <w:spacing w:before="20" w:after="20"/>
              <w:ind w:left="317" w:hanging="317"/>
            </w:pPr>
            <w:r>
              <w:t>Надежность (бесперебойность) снабжения потребителей услугами – 0,05 ед./км;</w:t>
            </w:r>
          </w:p>
          <w:p>
            <w:pPr>
              <w:numPr>
                <w:ilvl w:val="0"/>
                <w:numId w:val="35"/>
              </w:numPr>
              <w:spacing w:before="20" w:after="20"/>
              <w:ind w:left="317" w:hanging="317"/>
              <w:rPr>
                <w:i/>
              </w:rPr>
            </w:pPr>
            <w:r>
              <w:t xml:space="preserve">доля объема отпуска электрической энергии, счета за которую выставлены по приборам учета – 100,0%.  </w:t>
            </w:r>
          </w:p>
          <w:p>
            <w:pPr>
              <w:spacing w:before="20" w:after="20"/>
              <w:rPr>
                <w:i/>
              </w:rPr>
            </w:pPr>
            <w:r>
              <w:rPr>
                <w:i/>
              </w:rPr>
              <w:t xml:space="preserve">Система газоснабжения: </w:t>
            </w:r>
          </w:p>
          <w:p>
            <w:pPr>
              <w:numPr>
                <w:ilvl w:val="0"/>
                <w:numId w:val="36"/>
              </w:numPr>
              <w:spacing w:before="20" w:after="20"/>
              <w:ind w:left="317" w:hanging="317"/>
            </w:pPr>
            <w:r>
              <w:rPr>
                <w:color w:val="000000"/>
              </w:rPr>
              <w:t>доля полимерных газопроводов –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Сроки и этапы реализации</w:t>
            </w:r>
          </w:p>
          <w:p>
            <w:pPr>
              <w:spacing w:before="20" w:after="20"/>
              <w:rPr>
                <w:b/>
              </w:rPr>
            </w:pPr>
            <w:r>
              <w:rPr>
                <w:b/>
              </w:rPr>
              <w:t xml:space="preserve">программы  </w:t>
            </w:r>
          </w:p>
        </w:tc>
        <w:tc>
          <w:tcPr>
            <w:tcW w:w="5845" w:type="dxa"/>
            <w:shd w:val="clear" w:color="auto" w:fill="auto"/>
            <w:vAlign w:val="center"/>
          </w:tcPr>
          <w:p>
            <w:pPr>
              <w:spacing w:before="20" w:after="20"/>
            </w:pPr>
            <w:r>
              <w:t xml:space="preserve">2019 - 2029гг.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Объемы требуемых</w:t>
            </w:r>
          </w:p>
          <w:p>
            <w:pPr>
              <w:spacing w:before="20" w:after="20"/>
              <w:rPr>
                <w:b/>
              </w:rPr>
            </w:pPr>
            <w:r>
              <w:rPr>
                <w:b/>
              </w:rPr>
              <w:t xml:space="preserve">капитальных вложений </w:t>
            </w:r>
          </w:p>
        </w:tc>
        <w:tc>
          <w:tcPr>
            <w:tcW w:w="5845" w:type="dxa"/>
            <w:shd w:val="clear" w:color="auto" w:fill="auto"/>
            <w:vAlign w:val="center"/>
          </w:tcPr>
          <w:p>
            <w:pPr>
              <w:spacing w:before="20" w:after="20"/>
            </w:pPr>
            <w:r>
              <w:t xml:space="preserve">За время реализации инвестиционных проектов в общей сложности будет привлечено </w:t>
            </w:r>
            <w:r>
              <w:rPr>
                <w:bCs/>
                <w:color w:val="000000"/>
              </w:rPr>
              <w:t xml:space="preserve">10 487,796 </w:t>
            </w:r>
            <w:r>
              <w:t xml:space="preserve">млн. руб., в т.ч.: </w:t>
            </w:r>
          </w:p>
          <w:p>
            <w:pPr>
              <w:spacing w:before="20" w:after="20"/>
              <w:rPr>
                <w:i/>
              </w:rPr>
            </w:pPr>
            <w:r>
              <w:rPr>
                <w:i/>
              </w:rPr>
              <w:t xml:space="preserve">по целям реализации: </w:t>
            </w:r>
          </w:p>
          <w:p>
            <w:pPr>
              <w:numPr>
                <w:ilvl w:val="0"/>
                <w:numId w:val="37"/>
              </w:numPr>
              <w:spacing w:before="20" w:after="20"/>
              <w:ind w:left="459" w:hanging="284"/>
            </w:pPr>
            <w:r>
              <w:t xml:space="preserve">присоединение новых потребителей – </w:t>
            </w:r>
            <w:r>
              <w:rPr>
                <w:color w:val="000000"/>
              </w:rPr>
              <w:t xml:space="preserve">4 318,671 </w:t>
            </w:r>
            <w:r>
              <w:t>млн. руб.;</w:t>
            </w:r>
          </w:p>
          <w:p>
            <w:pPr>
              <w:numPr>
                <w:ilvl w:val="0"/>
                <w:numId w:val="37"/>
              </w:numPr>
              <w:spacing w:before="20" w:after="20"/>
              <w:ind w:left="459" w:hanging="284"/>
            </w:pPr>
            <w:r>
              <w:t xml:space="preserve">повышение надежности ресурсоснабжения –        </w:t>
            </w:r>
            <w:r>
              <w:rPr>
                <w:color w:val="000000"/>
              </w:rPr>
              <w:t>3 538,390</w:t>
            </w:r>
            <w:r>
              <w:rPr>
                <w:bCs/>
                <w:color w:val="000000"/>
              </w:rPr>
              <w:t xml:space="preserve"> </w:t>
            </w:r>
            <w:r>
              <w:t>млн. руб.;</w:t>
            </w:r>
          </w:p>
          <w:p>
            <w:pPr>
              <w:numPr>
                <w:ilvl w:val="0"/>
                <w:numId w:val="37"/>
              </w:numPr>
              <w:spacing w:before="20" w:after="20"/>
              <w:ind w:left="459" w:hanging="284"/>
            </w:pPr>
            <w:r>
              <w:t>выполнение экологических требований –</w:t>
            </w:r>
            <w:r>
              <w:rPr>
                <w:color w:val="000000"/>
              </w:rPr>
              <w:t xml:space="preserve">268,910 </w:t>
            </w:r>
            <w:r>
              <w:t>млн. руб.;</w:t>
            </w:r>
          </w:p>
          <w:p>
            <w:pPr>
              <w:numPr>
                <w:ilvl w:val="0"/>
                <w:numId w:val="37"/>
              </w:numPr>
              <w:spacing w:before="20" w:after="20"/>
              <w:ind w:left="459" w:hanging="284"/>
            </w:pPr>
            <w:r>
              <w:t xml:space="preserve">выполнение требований законодательства в сфере энергосбережения и поышения энергетической эффективности – </w:t>
            </w:r>
            <w:r>
              <w:rPr>
                <w:color w:val="000000"/>
              </w:rPr>
              <w:t>2 361,825</w:t>
            </w:r>
            <w:r>
              <w:t xml:space="preserve"> млн. руб.  </w:t>
            </w:r>
          </w:p>
          <w:p>
            <w:pPr>
              <w:spacing w:before="20" w:after="20"/>
              <w:rPr>
                <w:i/>
              </w:rPr>
            </w:pPr>
            <w:r>
              <w:rPr>
                <w:i/>
              </w:rPr>
              <w:t xml:space="preserve">по простым срокам окупаемости: </w:t>
            </w:r>
          </w:p>
          <w:p>
            <w:pPr>
              <w:numPr>
                <w:ilvl w:val="0"/>
                <w:numId w:val="38"/>
              </w:numPr>
              <w:spacing w:before="20" w:after="20"/>
              <w:ind w:left="459" w:hanging="284"/>
            </w:pPr>
            <w:r>
              <w:t xml:space="preserve">быстроокупаемые – </w:t>
            </w:r>
            <w:r>
              <w:rPr>
                <w:color w:val="000000"/>
              </w:rPr>
              <w:t xml:space="preserve">3 033,639 </w:t>
            </w:r>
            <w:r>
              <w:t>млн. руб.;</w:t>
            </w:r>
          </w:p>
          <w:p>
            <w:pPr>
              <w:numPr>
                <w:ilvl w:val="0"/>
                <w:numId w:val="38"/>
              </w:numPr>
              <w:spacing w:before="20" w:after="20"/>
              <w:ind w:left="459" w:hanging="284"/>
            </w:pPr>
            <w:r>
              <w:t xml:space="preserve">среднеокупаемые – </w:t>
            </w:r>
            <w:r>
              <w:rPr>
                <w:color w:val="000000"/>
              </w:rPr>
              <w:t xml:space="preserve">600,738 </w:t>
            </w:r>
            <w:r>
              <w:t>млн. руб.;</w:t>
            </w:r>
          </w:p>
          <w:p>
            <w:pPr>
              <w:numPr>
                <w:ilvl w:val="0"/>
                <w:numId w:val="38"/>
              </w:numPr>
              <w:spacing w:before="20" w:after="20"/>
              <w:ind w:left="459" w:hanging="284"/>
            </w:pPr>
            <w:r>
              <w:t xml:space="preserve">долгоокупаемые – </w:t>
            </w:r>
            <w:r>
              <w:rPr>
                <w:color w:val="000000"/>
              </w:rPr>
              <w:t xml:space="preserve">6 853,418 </w:t>
            </w:r>
            <w:r>
              <w:t xml:space="preserve">млн. руб. </w:t>
            </w:r>
          </w:p>
          <w:p>
            <w:pPr>
              <w:spacing w:before="20" w:after="20"/>
              <w:rPr>
                <w:i/>
              </w:rPr>
            </w:pPr>
            <w:r>
              <w:rPr>
                <w:i/>
              </w:rPr>
              <w:t>по источникам финансирования:</w:t>
            </w:r>
          </w:p>
          <w:p>
            <w:pPr>
              <w:numPr>
                <w:ilvl w:val="0"/>
                <w:numId w:val="39"/>
              </w:numPr>
              <w:spacing w:before="20" w:after="20"/>
              <w:ind w:left="459" w:hanging="284"/>
            </w:pPr>
            <w:r>
              <w:t xml:space="preserve">бюджетные средства – </w:t>
            </w:r>
            <w:r>
              <w:rPr>
                <w:color w:val="000000"/>
              </w:rPr>
              <w:t xml:space="preserve">502,074 </w:t>
            </w:r>
            <w:r>
              <w:t>млн. руб., в т.ч.:</w:t>
            </w:r>
          </w:p>
          <w:p>
            <w:pPr>
              <w:numPr>
                <w:ilvl w:val="0"/>
                <w:numId w:val="40"/>
              </w:numPr>
              <w:spacing w:before="20" w:after="20"/>
              <w:ind w:left="776" w:hanging="284"/>
            </w:pPr>
            <w:r>
              <w:rPr>
                <w:color w:val="000000"/>
              </w:rPr>
              <w:t xml:space="preserve">бюджет </w:t>
            </w:r>
            <w:r>
              <w:t>территориального управления Одинцово – 8,685 млн. руб.,</w:t>
            </w:r>
          </w:p>
          <w:p>
            <w:pPr>
              <w:numPr>
                <w:ilvl w:val="0"/>
                <w:numId w:val="39"/>
              </w:numPr>
              <w:spacing w:before="20" w:after="20"/>
              <w:ind w:left="459" w:hanging="284"/>
            </w:pPr>
            <w:r>
              <w:rPr>
                <w:color w:val="000000"/>
              </w:rPr>
              <w:t>капитальные вложения из прибыли</w:t>
            </w:r>
            <w:r>
              <w:t xml:space="preserve"> – </w:t>
            </w:r>
            <w:r>
              <w:rPr>
                <w:color w:val="000000"/>
              </w:rPr>
              <w:t xml:space="preserve">2 626,585 </w:t>
            </w:r>
            <w:r>
              <w:t>млн. руб.;</w:t>
            </w:r>
          </w:p>
          <w:p>
            <w:pPr>
              <w:numPr>
                <w:ilvl w:val="0"/>
                <w:numId w:val="39"/>
              </w:numPr>
              <w:spacing w:before="20" w:after="20"/>
              <w:ind w:left="459" w:hanging="284"/>
            </w:pPr>
            <w:r>
              <w:rPr>
                <w:color w:val="000000"/>
              </w:rPr>
              <w:t>плата за технологическое присоединение</w:t>
            </w:r>
            <w:r>
              <w:t xml:space="preserve"> – </w:t>
            </w:r>
            <w:r>
              <w:rPr>
                <w:color w:val="000000"/>
              </w:rPr>
              <w:t xml:space="preserve">4 318,671 </w:t>
            </w:r>
            <w:r>
              <w:t>млн. руб.;</w:t>
            </w:r>
          </w:p>
          <w:p>
            <w:pPr>
              <w:numPr>
                <w:ilvl w:val="0"/>
                <w:numId w:val="39"/>
              </w:numPr>
              <w:spacing w:before="20" w:after="20"/>
              <w:ind w:left="459" w:hanging="284"/>
            </w:pPr>
            <w:r>
              <w:t xml:space="preserve">собственные средства – </w:t>
            </w:r>
            <w:r>
              <w:rPr>
                <w:color w:val="000000"/>
              </w:rPr>
              <w:t xml:space="preserve">1 042,984 </w:t>
            </w:r>
            <w:r>
              <w:t xml:space="preserve">млн. руб.; </w:t>
            </w:r>
          </w:p>
          <w:p>
            <w:pPr>
              <w:numPr>
                <w:ilvl w:val="0"/>
                <w:numId w:val="39"/>
              </w:numPr>
              <w:spacing w:before="20" w:after="20"/>
              <w:ind w:left="459" w:hanging="284"/>
            </w:pPr>
            <w:r>
              <w:t xml:space="preserve">кредитные средства – </w:t>
            </w:r>
            <w:r>
              <w:rPr>
                <w:color w:val="000000"/>
              </w:rPr>
              <w:t>106,284</w:t>
            </w:r>
            <w:r>
              <w:t xml:space="preserve">  млн. руб.;</w:t>
            </w:r>
          </w:p>
          <w:p>
            <w:pPr>
              <w:numPr>
                <w:ilvl w:val="0"/>
                <w:numId w:val="39"/>
              </w:numPr>
              <w:spacing w:before="20" w:after="20"/>
              <w:ind w:left="459" w:hanging="284"/>
            </w:pPr>
            <w:r>
              <w:t xml:space="preserve">средства населения – </w:t>
            </w:r>
            <w:r>
              <w:rPr>
                <w:color w:val="000000"/>
              </w:rPr>
              <w:t xml:space="preserve">1 882,512 </w:t>
            </w:r>
            <w:r>
              <w:t>млн.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shd w:val="clear" w:color="auto" w:fill="auto"/>
            <w:vAlign w:val="center"/>
          </w:tcPr>
          <w:p>
            <w:pPr>
              <w:spacing w:before="20" w:after="20"/>
              <w:rPr>
                <w:b/>
              </w:rPr>
            </w:pPr>
            <w:r>
              <w:rPr>
                <w:b/>
              </w:rPr>
              <w:t xml:space="preserve">Ожидаемые результаты </w:t>
            </w:r>
          </w:p>
          <w:p>
            <w:pPr>
              <w:spacing w:before="20" w:after="20"/>
              <w:rPr>
                <w:b/>
              </w:rPr>
            </w:pPr>
            <w:r>
              <w:rPr>
                <w:b/>
              </w:rPr>
              <w:t xml:space="preserve">реализации программы </w:t>
            </w:r>
          </w:p>
        </w:tc>
        <w:tc>
          <w:tcPr>
            <w:tcW w:w="5845" w:type="dxa"/>
            <w:shd w:val="clear" w:color="auto" w:fill="auto"/>
          </w:tcPr>
          <w:p>
            <w:pPr>
              <w:numPr>
                <w:ilvl w:val="0"/>
                <w:numId w:val="39"/>
              </w:numPr>
              <w:spacing w:before="20" w:after="20"/>
              <w:ind w:left="492" w:hanging="283"/>
            </w:pPr>
            <w:r>
              <w:t>повышение инвестиционной привлекательности коммунальной инфраструктуры;</w:t>
            </w:r>
          </w:p>
          <w:p>
            <w:pPr>
              <w:numPr>
                <w:ilvl w:val="0"/>
                <w:numId w:val="39"/>
              </w:numPr>
              <w:spacing w:before="20" w:after="20"/>
              <w:ind w:left="492" w:hanging="283"/>
            </w:pPr>
            <w:r>
              <w:t xml:space="preserve">составленный перечень инвестиционных проектов; </w:t>
            </w:r>
          </w:p>
          <w:p>
            <w:pPr>
              <w:numPr>
                <w:ilvl w:val="0"/>
                <w:numId w:val="39"/>
              </w:numPr>
              <w:spacing w:before="20" w:after="20"/>
              <w:ind w:left="492" w:hanging="283"/>
            </w:pPr>
            <w:r>
              <w:t>определенные объемы и стоимость инвестиционных проектов;</w:t>
            </w:r>
          </w:p>
          <w:p>
            <w:pPr>
              <w:numPr>
                <w:ilvl w:val="0"/>
                <w:numId w:val="39"/>
              </w:numPr>
              <w:spacing w:before="20" w:after="20"/>
              <w:ind w:left="492" w:hanging="283"/>
            </w:pPr>
            <w:r>
              <w:t>определенные эффекты в натуральном и стоимостном выражении, получаемые в результате реализации инвестиционных проектов;</w:t>
            </w:r>
          </w:p>
          <w:p>
            <w:pPr>
              <w:numPr>
                <w:ilvl w:val="0"/>
                <w:numId w:val="39"/>
              </w:numPr>
              <w:spacing w:before="20" w:after="20"/>
              <w:ind w:left="492" w:hanging="283"/>
            </w:pPr>
            <w:r>
              <w:t>повышение надёжности и качества предоставляемых коммунальных услуг;</w:t>
            </w:r>
          </w:p>
          <w:p>
            <w:pPr>
              <w:numPr>
                <w:ilvl w:val="0"/>
                <w:numId w:val="39"/>
              </w:numPr>
              <w:spacing w:before="20" w:after="20"/>
              <w:ind w:left="492" w:hanging="283"/>
            </w:pPr>
            <w:r>
              <w:t>приведение в соответствие систем коммунальной инфраструктуры потребностям строительства;</w:t>
            </w:r>
          </w:p>
          <w:p>
            <w:pPr>
              <w:numPr>
                <w:ilvl w:val="0"/>
                <w:numId w:val="39"/>
              </w:numPr>
              <w:spacing w:before="20" w:after="20"/>
              <w:ind w:left="492" w:hanging="283"/>
            </w:pPr>
            <w:r>
              <w:t>повышения рыночной стоимости, экономической и энергетической эффективности коммунального муниципалного имущества;</w:t>
            </w:r>
          </w:p>
          <w:p>
            <w:pPr>
              <w:numPr>
                <w:ilvl w:val="0"/>
                <w:numId w:val="39"/>
              </w:numPr>
              <w:spacing w:before="20" w:after="20"/>
              <w:ind w:left="492" w:hanging="283"/>
            </w:pPr>
            <w:r>
              <w:t>повышение рыночной стоимости жилого фонда;</w:t>
            </w:r>
          </w:p>
          <w:p>
            <w:pPr>
              <w:numPr>
                <w:ilvl w:val="0"/>
                <w:numId w:val="39"/>
              </w:numPr>
              <w:spacing w:before="20" w:after="20"/>
              <w:ind w:left="492" w:hanging="283"/>
            </w:pPr>
            <w:r>
              <w:t>внедрение современных технологий в процессы производства, транспорта и распределения коммунальных ресурсов;</w:t>
            </w:r>
          </w:p>
          <w:p>
            <w:pPr>
              <w:numPr>
                <w:ilvl w:val="0"/>
                <w:numId w:val="39"/>
              </w:numPr>
              <w:spacing w:before="20" w:after="20"/>
              <w:ind w:left="492" w:hanging="283"/>
            </w:pPr>
            <w:r>
              <w:t>обеспечение технической и экономической доступности коммунальных ресурсов для устойчивого экономического развития;</w:t>
            </w:r>
          </w:p>
          <w:p>
            <w:pPr>
              <w:numPr>
                <w:ilvl w:val="0"/>
                <w:numId w:val="39"/>
              </w:numPr>
              <w:spacing w:before="20" w:after="20"/>
              <w:ind w:left="492" w:hanging="283"/>
            </w:pPr>
            <w:r>
              <w:t xml:space="preserve">улучшение экологической ситуации. </w:t>
            </w:r>
            <w:r>
              <w:rPr>
                <w:b/>
                <w:lang w:eastAsia="en-US"/>
              </w:rPr>
              <w:t xml:space="preserve"> </w:t>
            </w:r>
          </w:p>
        </w:tc>
      </w:tr>
    </w:tbl>
    <w:p>
      <w:pPr>
        <w:sectPr>
          <w:pgSz w:w="11906" w:h="16838"/>
          <w:pgMar w:top="1276" w:right="1133" w:bottom="1134" w:left="1701" w:header="708" w:footer="708" w:gutter="0"/>
          <w:cols w:space="708" w:num="1"/>
          <w:docGrid w:linePitch="360" w:charSpace="0"/>
        </w:sectPr>
      </w:pPr>
    </w:p>
    <w:bookmarkEnd w:id="0"/>
    <w:bookmarkEnd w:id="1"/>
    <w:bookmarkEnd w:id="2"/>
    <w:bookmarkEnd w:id="3"/>
    <w:bookmarkEnd w:id="4"/>
    <w:bookmarkEnd w:id="5"/>
    <w:p>
      <w:pPr>
        <w:pStyle w:val="2"/>
        <w:numPr>
          <w:ilvl w:val="0"/>
          <w:numId w:val="30"/>
        </w:numPr>
        <w:ind w:left="448" w:hanging="448"/>
        <w:rPr>
          <w:rFonts w:ascii="Times New Roman" w:hAnsi="Times New Roman"/>
          <w:sz w:val="30"/>
          <w:szCs w:val="30"/>
        </w:rPr>
      </w:pPr>
      <w:bookmarkStart w:id="7" w:name="_Toc21015027"/>
      <w:bookmarkStart w:id="8" w:name="_Toc215484828"/>
      <w:bookmarkStart w:id="9" w:name="_Toc294609061"/>
      <w:r>
        <w:rPr>
          <w:rFonts w:ascii="Times New Roman" w:hAnsi="Times New Roman"/>
          <w:sz w:val="30"/>
          <w:szCs w:val="30"/>
        </w:rPr>
        <w:t>ХАРАКТЕРИСТИКА СОСТОЯНИЯ И ПРОБЛЕМ КОММУНАЛЬНОЙ ИНФРАСТРУКТУРЫ</w:t>
      </w:r>
      <w:bookmarkEnd w:id="7"/>
    </w:p>
    <w:p>
      <w:pPr>
        <w:pStyle w:val="3"/>
        <w:numPr>
          <w:ilvl w:val="1"/>
          <w:numId w:val="30"/>
        </w:numPr>
        <w:pBdr>
          <w:bottom w:val="single" w:color="auto" w:sz="4" w:space="1"/>
        </w:pBdr>
        <w:tabs>
          <w:tab w:val="left" w:pos="1276"/>
        </w:tabs>
        <w:spacing w:before="300" w:after="200"/>
        <w:ind w:hanging="721"/>
        <w:rPr>
          <w:rFonts w:ascii="Times New Roman" w:hAnsi="Times New Roman"/>
          <w:i w:val="0"/>
          <w:color w:val="000000"/>
          <w:sz w:val="30"/>
          <w:szCs w:val="30"/>
        </w:rPr>
      </w:pPr>
      <w:bookmarkStart w:id="10" w:name="_Toc21015028"/>
      <w:r>
        <w:rPr>
          <w:rFonts w:ascii="Times New Roman" w:hAnsi="Times New Roman"/>
          <w:i w:val="0"/>
          <w:color w:val="000000"/>
          <w:sz w:val="30"/>
          <w:szCs w:val="30"/>
        </w:rPr>
        <w:t>Краткий анализ существующего состояния системы теплоснабжения</w:t>
      </w:r>
      <w:bookmarkEnd w:id="10"/>
    </w:p>
    <w:p>
      <w:pPr>
        <w:pStyle w:val="3"/>
        <w:numPr>
          <w:ilvl w:val="2"/>
          <w:numId w:val="30"/>
        </w:numPr>
        <w:pBdr>
          <w:bottom w:val="single" w:color="auto" w:sz="4" w:space="1"/>
        </w:pBdr>
        <w:tabs>
          <w:tab w:val="left" w:pos="1276"/>
        </w:tabs>
        <w:spacing w:before="300" w:after="200"/>
        <w:rPr>
          <w:rFonts w:ascii="Times New Roman" w:hAnsi="Times New Roman"/>
          <w:i w:val="0"/>
          <w:color w:val="000000"/>
          <w:sz w:val="30"/>
          <w:szCs w:val="30"/>
        </w:rPr>
      </w:pPr>
      <w:bookmarkStart w:id="11" w:name="_Toc21015029"/>
      <w:r>
        <w:rPr>
          <w:rFonts w:ascii="Times New Roman" w:hAnsi="Times New Roman"/>
          <w:i w:val="0"/>
          <w:color w:val="000000"/>
          <w:sz w:val="30"/>
          <w:szCs w:val="30"/>
        </w:rPr>
        <w:t>Организационная структура</w:t>
      </w:r>
      <w:bookmarkEnd w:id="11"/>
    </w:p>
    <w:p>
      <w:pPr>
        <w:spacing w:line="360" w:lineRule="auto"/>
        <w:ind w:firstLine="567"/>
        <w:jc w:val="both"/>
        <w:rPr>
          <w:color w:val="000000"/>
          <w:sz w:val="28"/>
          <w:szCs w:val="28"/>
        </w:rPr>
      </w:pPr>
      <w:r>
        <w:rPr>
          <w:color w:val="000000"/>
          <w:sz w:val="28"/>
          <w:szCs w:val="28"/>
        </w:rPr>
        <w:t>Теплоснабжение "Территориального управления Одинцово" осуществляется как централизованно, так и децентрализовано.</w:t>
      </w:r>
    </w:p>
    <w:p>
      <w:pPr>
        <w:spacing w:line="360" w:lineRule="auto"/>
        <w:ind w:firstLine="567"/>
        <w:jc w:val="both"/>
        <w:rPr>
          <w:color w:val="000000"/>
          <w:sz w:val="28"/>
          <w:szCs w:val="28"/>
        </w:rPr>
      </w:pPr>
      <w:r>
        <w:rPr>
          <w:color w:val="000000"/>
          <w:sz w:val="28"/>
          <w:szCs w:val="28"/>
        </w:rPr>
        <w:t>Централизованным теплоснабжением в "ТУ Одинцово" обеспечена вся многоквартирная жилищная застройка и объекты соцкультбыта. Децентрализованным теплоснабжением обеспечивается в основном индивидуальная усадебная и коттеджная застройки. Многоквартирный жилой фонд, расположенный в "ТУ Одинцово", обеспечивается теплом от централизованных источников тепла – котельных "ТУ Одинцово".</w:t>
      </w:r>
    </w:p>
    <w:p>
      <w:pPr>
        <w:spacing w:line="360" w:lineRule="auto"/>
        <w:ind w:firstLine="567"/>
        <w:jc w:val="both"/>
        <w:rPr>
          <w:color w:val="000000"/>
          <w:sz w:val="28"/>
          <w:szCs w:val="28"/>
        </w:rPr>
      </w:pPr>
      <w:r>
        <w:rPr>
          <w:color w:val="000000"/>
          <w:sz w:val="28"/>
          <w:szCs w:val="28"/>
        </w:rPr>
        <w:t>На территории "ТУ Одинцово" действуют десять организаций, оказывающих услуги теплоснабжения:</w:t>
      </w:r>
    </w:p>
    <w:p>
      <w:pPr>
        <w:pStyle w:val="154"/>
        <w:numPr>
          <w:ilvl w:val="0"/>
          <w:numId w:val="41"/>
        </w:numPr>
        <w:spacing w:line="360" w:lineRule="auto"/>
        <w:ind w:left="567" w:firstLine="0"/>
        <w:jc w:val="both"/>
        <w:rPr>
          <w:color w:val="000000"/>
          <w:sz w:val="28"/>
          <w:szCs w:val="28"/>
        </w:rPr>
      </w:pPr>
      <w:r>
        <w:rPr>
          <w:color w:val="000000"/>
          <w:sz w:val="28"/>
          <w:szCs w:val="28"/>
        </w:rPr>
        <w:t>Акционерное общество «Одинцовская теплосеть» (далее – АО «Одинцовская теплосеть»);</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«Московский насосный завод» (далее – ООО «МНЗ»);</w:t>
      </w:r>
    </w:p>
    <w:p>
      <w:pPr>
        <w:pStyle w:val="154"/>
        <w:numPr>
          <w:ilvl w:val="0"/>
          <w:numId w:val="41"/>
        </w:numPr>
        <w:spacing w:line="360" w:lineRule="auto"/>
        <w:ind w:left="567" w:firstLine="0"/>
        <w:jc w:val="both"/>
        <w:rPr>
          <w:color w:val="000000"/>
          <w:sz w:val="28"/>
          <w:szCs w:val="28"/>
        </w:rPr>
      </w:pPr>
      <w:r>
        <w:rPr>
          <w:color w:val="000000"/>
          <w:sz w:val="28"/>
          <w:szCs w:val="28"/>
        </w:rPr>
        <w:t>Открытое акционерное общество «Внуковский завод огнеупорных изделий» (далее – ОАО «ВЗОИ»);</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«Баковский завод резинотехнических изделий» (далее – ООО «БЗРИ»);</w:t>
      </w:r>
    </w:p>
    <w:p>
      <w:pPr>
        <w:pStyle w:val="154"/>
        <w:numPr>
          <w:ilvl w:val="0"/>
          <w:numId w:val="41"/>
        </w:numPr>
        <w:spacing w:line="360" w:lineRule="auto"/>
        <w:ind w:left="567" w:firstLine="0"/>
        <w:jc w:val="both"/>
        <w:rPr>
          <w:color w:val="000000"/>
          <w:sz w:val="28"/>
          <w:szCs w:val="28"/>
        </w:rPr>
      </w:pPr>
      <w:r>
        <w:rPr>
          <w:color w:val="000000"/>
          <w:sz w:val="28"/>
          <w:szCs w:val="28"/>
        </w:rPr>
        <w:t>Закрытое акционерное общество «Городские ТеплоСистемы» (далее – ЗАО «ГТС»);</w:t>
      </w:r>
    </w:p>
    <w:p>
      <w:pPr>
        <w:pStyle w:val="154"/>
        <w:numPr>
          <w:ilvl w:val="0"/>
          <w:numId w:val="41"/>
        </w:numPr>
        <w:spacing w:line="360" w:lineRule="auto"/>
        <w:ind w:left="567" w:firstLine="0"/>
        <w:jc w:val="both"/>
        <w:rPr>
          <w:color w:val="000000"/>
          <w:sz w:val="28"/>
          <w:szCs w:val="28"/>
        </w:rPr>
      </w:pPr>
      <w:r>
        <w:rPr>
          <w:color w:val="000000"/>
          <w:sz w:val="28"/>
          <w:szCs w:val="28"/>
        </w:rPr>
        <w:t>Акционерное общество «Ресурс» (далее – АО «Ресурс»);</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«УНР-858» (далее – ООО «УНР-858») – источник тепловой энергии введен в эксплуатацию с октября 2016 г.;</w:t>
      </w:r>
    </w:p>
    <w:p>
      <w:pPr>
        <w:pStyle w:val="154"/>
        <w:numPr>
          <w:ilvl w:val="0"/>
          <w:numId w:val="41"/>
        </w:numPr>
        <w:spacing w:line="360" w:lineRule="auto"/>
        <w:ind w:left="567" w:firstLine="0"/>
        <w:jc w:val="both"/>
        <w:rPr>
          <w:color w:val="000000"/>
          <w:sz w:val="28"/>
          <w:szCs w:val="28"/>
        </w:rPr>
      </w:pPr>
      <w:r>
        <w:rPr>
          <w:color w:val="000000"/>
          <w:sz w:val="28"/>
          <w:szCs w:val="28"/>
        </w:rPr>
        <w:t>Акционерное общество Трансинжстрой «СМУ-158» (далее СМУ-158);</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«Теплоинжсервис» (далее – ООО «Теплоинжсервис»);</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«Теплосервис-М» (далее – ООО «Теплосервис-М»);</w:t>
      </w:r>
    </w:p>
    <w:p>
      <w:pPr>
        <w:pStyle w:val="154"/>
        <w:numPr>
          <w:ilvl w:val="0"/>
          <w:numId w:val="41"/>
        </w:numPr>
        <w:spacing w:line="360" w:lineRule="auto"/>
        <w:ind w:left="567" w:firstLine="0"/>
        <w:jc w:val="both"/>
        <w:rPr>
          <w:color w:val="000000"/>
          <w:sz w:val="28"/>
          <w:szCs w:val="28"/>
        </w:rPr>
      </w:pPr>
      <w:r>
        <w:rPr>
          <w:color w:val="000000"/>
          <w:sz w:val="28"/>
          <w:szCs w:val="28"/>
        </w:rPr>
        <w:t>Общество с ограниченной ответственностью «ТеплоЭнергоСервис» (далее ООО «ТеплоЭнергоСервис»);</w:t>
      </w:r>
    </w:p>
    <w:p>
      <w:pPr>
        <w:pStyle w:val="154"/>
        <w:numPr>
          <w:ilvl w:val="0"/>
          <w:numId w:val="41"/>
        </w:numPr>
        <w:spacing w:line="360" w:lineRule="auto"/>
        <w:ind w:left="567" w:firstLine="0"/>
        <w:jc w:val="both"/>
        <w:rPr>
          <w:color w:val="000000"/>
          <w:sz w:val="28"/>
          <w:szCs w:val="28"/>
        </w:rPr>
      </w:pPr>
      <w:r>
        <w:rPr>
          <w:color w:val="000000"/>
          <w:sz w:val="28"/>
          <w:szCs w:val="28"/>
        </w:rPr>
        <w:t>Федеральное государственное бюджетное учреждение «Центральное жилищно-коммунальное управление» Министерства обороны Российской Федерации (далее ФГБУ «ЦЖКУ»).</w:t>
      </w:r>
    </w:p>
    <w:p>
      <w:pPr>
        <w:spacing w:line="360" w:lineRule="auto"/>
        <w:ind w:firstLine="567"/>
        <w:jc w:val="both"/>
        <w:rPr>
          <w:color w:val="000000"/>
          <w:sz w:val="28"/>
          <w:szCs w:val="28"/>
        </w:rPr>
      </w:pPr>
      <w:r>
        <w:rPr>
          <w:color w:val="000000"/>
          <w:sz w:val="28"/>
          <w:szCs w:val="28"/>
        </w:rPr>
        <w:t>На момент разработки Программы, согласно Постановлению «Об определении единой теплоснабжающей организации в границах Одинцовского муниципального района Московской области» №1050 от 28.10.2013, АО «Одинцовская теплосеть» определена единой теплоснабжающей организацией в границах ТУ Одинцово Одинцовского городского округа Московской области.</w:t>
      </w:r>
    </w:p>
    <w:p>
      <w:pPr>
        <w:spacing w:line="360" w:lineRule="auto"/>
        <w:ind w:firstLine="567"/>
        <w:jc w:val="both"/>
        <w:rPr>
          <w:color w:val="000000"/>
          <w:sz w:val="28"/>
          <w:szCs w:val="28"/>
        </w:rPr>
      </w:pPr>
      <w:r>
        <w:rPr>
          <w:color w:val="000000"/>
          <w:sz w:val="28"/>
          <w:szCs w:val="28"/>
        </w:rPr>
        <w:t>Основные сведения об указанных организациях представлены в таблице 2.1-1.</w:t>
      </w:r>
    </w:p>
    <w:p>
      <w:pPr>
        <w:spacing w:line="360" w:lineRule="auto"/>
        <w:jc w:val="both"/>
        <w:rPr>
          <w:b/>
          <w:color w:val="000000"/>
          <w:sz w:val="28"/>
          <w:szCs w:val="28"/>
        </w:rPr>
      </w:pPr>
      <w:r>
        <w:rPr>
          <w:b/>
          <w:color w:val="000000"/>
          <w:sz w:val="28"/>
          <w:szCs w:val="28"/>
        </w:rPr>
        <w:t>Таблица 2.1-1. Теплоснабжающие организации</w:t>
      </w:r>
    </w:p>
    <w:tbl>
      <w:tblPr>
        <w:tblStyle w:val="100"/>
        <w:tblW w:w="9028" w:type="dxa"/>
        <w:jc w:val="center"/>
        <w:tblInd w:w="0" w:type="dxa"/>
        <w:tblLayout w:type="fixed"/>
        <w:tblCellMar>
          <w:top w:w="0" w:type="dxa"/>
          <w:left w:w="108" w:type="dxa"/>
          <w:bottom w:w="0" w:type="dxa"/>
          <w:right w:w="108" w:type="dxa"/>
        </w:tblCellMar>
      </w:tblPr>
      <w:tblGrid>
        <w:gridCol w:w="992"/>
        <w:gridCol w:w="8036"/>
      </w:tblGrid>
      <w:tr>
        <w:tblPrEx>
          <w:tblLayout w:type="fixed"/>
          <w:tblCellMar>
            <w:top w:w="0" w:type="dxa"/>
            <w:left w:w="108" w:type="dxa"/>
            <w:bottom w:w="0" w:type="dxa"/>
            <w:right w:w="108" w:type="dxa"/>
          </w:tblCellMar>
        </w:tblPrEx>
        <w:trPr>
          <w:trHeight w:val="372" w:hRule="atLeast"/>
          <w:tblHeader/>
          <w:jc w:val="center"/>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222222"/>
              </w:rPr>
            </w:pPr>
            <w:r>
              <w:rPr>
                <w:b/>
                <w:bCs/>
                <w:color w:val="222222"/>
              </w:rPr>
              <w:t>№ п/п</w:t>
            </w:r>
          </w:p>
        </w:tc>
        <w:tc>
          <w:tcPr>
            <w:tcW w:w="8036" w:type="dxa"/>
            <w:tcBorders>
              <w:top w:val="single" w:color="auto" w:sz="4" w:space="0"/>
              <w:left w:val="nil"/>
              <w:bottom w:val="single" w:color="auto" w:sz="4" w:space="0"/>
              <w:right w:val="single" w:color="auto" w:sz="4" w:space="0"/>
            </w:tcBorders>
            <w:shd w:val="clear" w:color="auto" w:fill="auto"/>
            <w:vAlign w:val="center"/>
          </w:tcPr>
          <w:p>
            <w:pPr>
              <w:jc w:val="center"/>
              <w:rPr>
                <w:b/>
                <w:bCs/>
                <w:color w:val="222222"/>
              </w:rPr>
            </w:pPr>
            <w:r>
              <w:rPr>
                <w:b/>
                <w:bCs/>
                <w:color w:val="222222"/>
              </w:rPr>
              <w:t>Наименование ТСО</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1</w:t>
            </w:r>
          </w:p>
        </w:tc>
        <w:tc>
          <w:tcPr>
            <w:tcW w:w="8036" w:type="dxa"/>
            <w:tcBorders>
              <w:top w:val="nil"/>
              <w:left w:val="nil"/>
              <w:bottom w:val="single" w:color="auto" w:sz="4" w:space="0"/>
              <w:right w:val="single" w:color="auto" w:sz="4" w:space="0"/>
            </w:tcBorders>
            <w:shd w:val="clear" w:color="auto" w:fill="auto"/>
          </w:tcPr>
          <w:p>
            <w:pPr>
              <w:jc w:val="center"/>
            </w:pPr>
            <w:r>
              <w:t>АО «Одинцовская теплосеть»</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2</w:t>
            </w:r>
          </w:p>
        </w:tc>
        <w:tc>
          <w:tcPr>
            <w:tcW w:w="8036" w:type="dxa"/>
            <w:tcBorders>
              <w:top w:val="nil"/>
              <w:left w:val="nil"/>
              <w:bottom w:val="single" w:color="auto" w:sz="4" w:space="0"/>
              <w:right w:val="single" w:color="auto" w:sz="4" w:space="0"/>
            </w:tcBorders>
            <w:shd w:val="clear" w:color="auto" w:fill="auto"/>
          </w:tcPr>
          <w:p>
            <w:pPr>
              <w:jc w:val="center"/>
            </w:pPr>
            <w:r>
              <w:t>ООО «МНЗ»</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3</w:t>
            </w:r>
          </w:p>
        </w:tc>
        <w:tc>
          <w:tcPr>
            <w:tcW w:w="8036" w:type="dxa"/>
            <w:tcBorders>
              <w:top w:val="nil"/>
              <w:left w:val="nil"/>
              <w:bottom w:val="single" w:color="auto" w:sz="4" w:space="0"/>
              <w:right w:val="single" w:color="auto" w:sz="4" w:space="0"/>
            </w:tcBorders>
            <w:shd w:val="clear" w:color="auto" w:fill="auto"/>
          </w:tcPr>
          <w:p>
            <w:pPr>
              <w:jc w:val="center"/>
            </w:pPr>
            <w:r>
              <w:t>ОАО «ВЗОИ»</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4</w:t>
            </w:r>
          </w:p>
        </w:tc>
        <w:tc>
          <w:tcPr>
            <w:tcW w:w="8036" w:type="dxa"/>
            <w:tcBorders>
              <w:top w:val="nil"/>
              <w:left w:val="nil"/>
              <w:bottom w:val="single" w:color="auto" w:sz="4" w:space="0"/>
              <w:right w:val="single" w:color="auto" w:sz="4" w:space="0"/>
            </w:tcBorders>
            <w:shd w:val="clear" w:color="auto" w:fill="auto"/>
          </w:tcPr>
          <w:p>
            <w:pPr>
              <w:jc w:val="center"/>
            </w:pPr>
            <w:r>
              <w:t>ООО «БЗРИ»</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5</w:t>
            </w:r>
          </w:p>
        </w:tc>
        <w:tc>
          <w:tcPr>
            <w:tcW w:w="8036" w:type="dxa"/>
            <w:tcBorders>
              <w:top w:val="nil"/>
              <w:left w:val="nil"/>
              <w:bottom w:val="single" w:color="auto" w:sz="4" w:space="0"/>
              <w:right w:val="single" w:color="auto" w:sz="4" w:space="0"/>
            </w:tcBorders>
            <w:shd w:val="clear" w:color="auto" w:fill="auto"/>
          </w:tcPr>
          <w:p>
            <w:pPr>
              <w:jc w:val="center"/>
            </w:pPr>
            <w:r>
              <w:t>ЗАО «ГТС»</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6</w:t>
            </w:r>
          </w:p>
        </w:tc>
        <w:tc>
          <w:tcPr>
            <w:tcW w:w="8036" w:type="dxa"/>
            <w:tcBorders>
              <w:top w:val="nil"/>
              <w:left w:val="nil"/>
              <w:bottom w:val="single" w:color="auto" w:sz="4" w:space="0"/>
              <w:right w:val="single" w:color="auto" w:sz="4" w:space="0"/>
            </w:tcBorders>
            <w:shd w:val="clear" w:color="auto" w:fill="auto"/>
          </w:tcPr>
          <w:p>
            <w:pPr>
              <w:jc w:val="center"/>
            </w:pPr>
            <w:r>
              <w:t>АО «Ресурс»</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7</w:t>
            </w:r>
          </w:p>
        </w:tc>
        <w:tc>
          <w:tcPr>
            <w:tcW w:w="8036" w:type="dxa"/>
            <w:tcBorders>
              <w:top w:val="nil"/>
              <w:left w:val="nil"/>
              <w:bottom w:val="single" w:color="auto" w:sz="4" w:space="0"/>
              <w:right w:val="single" w:color="auto" w:sz="4" w:space="0"/>
            </w:tcBorders>
            <w:shd w:val="clear" w:color="auto" w:fill="auto"/>
          </w:tcPr>
          <w:p>
            <w:pPr>
              <w:jc w:val="center"/>
            </w:pPr>
            <w:r>
              <w:t>ООО «УНР-858»</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8</w:t>
            </w:r>
          </w:p>
        </w:tc>
        <w:tc>
          <w:tcPr>
            <w:tcW w:w="8036" w:type="dxa"/>
            <w:tcBorders>
              <w:top w:val="nil"/>
              <w:left w:val="nil"/>
              <w:bottom w:val="single" w:color="auto" w:sz="4" w:space="0"/>
              <w:right w:val="single" w:color="auto" w:sz="4" w:space="0"/>
            </w:tcBorders>
            <w:shd w:val="clear" w:color="auto" w:fill="auto"/>
          </w:tcPr>
          <w:p>
            <w:pPr>
              <w:jc w:val="center"/>
            </w:pPr>
            <w:r>
              <w:t>АО Трансинжстрой «СМУ-158»</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9</w:t>
            </w:r>
          </w:p>
        </w:tc>
        <w:tc>
          <w:tcPr>
            <w:tcW w:w="8036" w:type="dxa"/>
            <w:tcBorders>
              <w:top w:val="nil"/>
              <w:left w:val="nil"/>
              <w:bottom w:val="single" w:color="auto" w:sz="4" w:space="0"/>
              <w:right w:val="single" w:color="auto" w:sz="4" w:space="0"/>
            </w:tcBorders>
            <w:shd w:val="clear" w:color="auto" w:fill="auto"/>
          </w:tcPr>
          <w:p>
            <w:pPr>
              <w:jc w:val="center"/>
            </w:pPr>
            <w:r>
              <w:t>ООО «Теплоинжсервис»</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10</w:t>
            </w:r>
          </w:p>
        </w:tc>
        <w:tc>
          <w:tcPr>
            <w:tcW w:w="8036" w:type="dxa"/>
            <w:tcBorders>
              <w:top w:val="nil"/>
              <w:left w:val="nil"/>
              <w:bottom w:val="single" w:color="auto" w:sz="4" w:space="0"/>
              <w:right w:val="single" w:color="auto" w:sz="4" w:space="0"/>
            </w:tcBorders>
            <w:shd w:val="clear" w:color="auto" w:fill="auto"/>
          </w:tcPr>
          <w:p>
            <w:pPr>
              <w:jc w:val="center"/>
            </w:pPr>
            <w:r>
              <w:t>ООО «Теплосервис-М»</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11</w:t>
            </w:r>
          </w:p>
        </w:tc>
        <w:tc>
          <w:tcPr>
            <w:tcW w:w="8036" w:type="dxa"/>
            <w:tcBorders>
              <w:top w:val="nil"/>
              <w:left w:val="nil"/>
              <w:bottom w:val="single" w:color="auto" w:sz="4" w:space="0"/>
              <w:right w:val="single" w:color="auto" w:sz="4" w:space="0"/>
            </w:tcBorders>
            <w:shd w:val="clear" w:color="auto" w:fill="auto"/>
          </w:tcPr>
          <w:p>
            <w:pPr>
              <w:jc w:val="center"/>
            </w:pPr>
            <w:r>
              <w:t>ООО «ТеплоЭнергоСервис»</w:t>
            </w:r>
          </w:p>
        </w:tc>
      </w:tr>
      <w:tr>
        <w:tblPrEx>
          <w:tblLayout w:type="fixed"/>
          <w:tblCellMar>
            <w:top w:w="0" w:type="dxa"/>
            <w:left w:w="108" w:type="dxa"/>
            <w:bottom w:w="0" w:type="dxa"/>
            <w:right w:w="108" w:type="dxa"/>
          </w:tblCellMar>
        </w:tblPrEx>
        <w:trPr>
          <w:trHeight w:val="255" w:hRule="atLeast"/>
          <w:jc w:val="center"/>
        </w:trPr>
        <w:tc>
          <w:tcPr>
            <w:tcW w:w="9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rPr>
            </w:pPr>
            <w:r>
              <w:rPr>
                <w:color w:val="000000"/>
              </w:rPr>
              <w:t>12</w:t>
            </w:r>
          </w:p>
        </w:tc>
        <w:tc>
          <w:tcPr>
            <w:tcW w:w="8036" w:type="dxa"/>
            <w:tcBorders>
              <w:top w:val="nil"/>
              <w:left w:val="nil"/>
              <w:bottom w:val="single" w:color="auto" w:sz="4" w:space="0"/>
              <w:right w:val="single" w:color="auto" w:sz="4" w:space="0"/>
            </w:tcBorders>
            <w:shd w:val="clear" w:color="auto" w:fill="auto"/>
          </w:tcPr>
          <w:p>
            <w:pPr>
              <w:jc w:val="center"/>
            </w:pPr>
            <w:r>
              <w:t>ФГБУ «ЦЖКУ» Минобороны России</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b/>
          <w:color w:val="000000"/>
          <w:sz w:val="28"/>
          <w:szCs w:val="28"/>
          <w:u w:val="single"/>
        </w:rPr>
        <w:t>АО «Одинцовская теплосеть»</w:t>
      </w:r>
      <w:r>
        <w:rPr>
          <w:color w:val="000000"/>
          <w:sz w:val="28"/>
          <w:szCs w:val="28"/>
        </w:rPr>
        <w:t xml:space="preserve"> создано путем реорганизации в форме преобразования Муниципального унитарного эксплуатационного предприятия «Одинцовская теплосеть» в соответствии с Федеральными законом от 26.12.1995 №208-ФЗ «Об акционерных обществах», Федеральными законом от 21.12.2001 №178-ФЗ «О приватизации государственного и муниципального имущества», решением Совета депутатов Одинцовского муниципального района Московской области от 31.10.2008 №13/26.</w:t>
      </w:r>
    </w:p>
    <w:p>
      <w:pPr>
        <w:spacing w:line="360" w:lineRule="auto"/>
        <w:ind w:firstLine="567"/>
        <w:jc w:val="both"/>
        <w:rPr>
          <w:color w:val="000000"/>
          <w:sz w:val="28"/>
          <w:szCs w:val="28"/>
        </w:rPr>
      </w:pPr>
      <w:r>
        <w:rPr>
          <w:color w:val="000000"/>
          <w:sz w:val="28"/>
          <w:szCs w:val="28"/>
        </w:rPr>
        <w:t>Учредителем Общества и единственным акционером является Администрация Одинцовского городского округа Московской области.</w:t>
      </w:r>
    </w:p>
    <w:p>
      <w:pPr>
        <w:spacing w:line="360" w:lineRule="auto"/>
        <w:ind w:firstLine="567"/>
        <w:jc w:val="both"/>
        <w:rPr>
          <w:color w:val="000000"/>
          <w:sz w:val="28"/>
          <w:szCs w:val="28"/>
        </w:rPr>
      </w:pPr>
      <w:r>
        <w:rPr>
          <w:color w:val="000000"/>
          <w:sz w:val="28"/>
          <w:szCs w:val="28"/>
        </w:rPr>
        <w:t>Администрацией городского поселения Одинцово, на основании договора на эксплуатацию от 04.10.2012 г. и дополнительного соглашения № 2 от 01.08.2014, а так же договора аренды имущества с правом выкупа № 7А/Ф-2016 от 14.10.2016, АО «Одинцовская теплосеть» передан в эксплуатацию ряд объектов теплоснабжения, находящихся в муниципальной частной собственности (котельные, центральные тепловые пункты и тепловые сети).</w:t>
      </w:r>
    </w:p>
    <w:p>
      <w:pPr>
        <w:spacing w:line="360" w:lineRule="auto"/>
        <w:ind w:firstLine="567"/>
        <w:jc w:val="both"/>
        <w:rPr>
          <w:color w:val="000000"/>
          <w:sz w:val="28"/>
          <w:szCs w:val="28"/>
        </w:rPr>
      </w:pPr>
      <w:r>
        <w:rPr>
          <w:color w:val="000000"/>
          <w:sz w:val="28"/>
          <w:szCs w:val="28"/>
        </w:rPr>
        <w:t>В зоне ответственности АО «Одинцовская теплосеть» находятся 18 котельных с установленной мощностью 476 Гкал/ч.</w:t>
      </w:r>
    </w:p>
    <w:p>
      <w:pPr>
        <w:spacing w:line="360" w:lineRule="auto"/>
        <w:ind w:firstLine="567"/>
        <w:jc w:val="both"/>
        <w:rPr>
          <w:color w:val="000000"/>
          <w:sz w:val="28"/>
          <w:szCs w:val="28"/>
        </w:rPr>
      </w:pPr>
      <w:r>
        <w:rPr>
          <w:b/>
          <w:color w:val="000000"/>
          <w:sz w:val="28"/>
          <w:szCs w:val="28"/>
          <w:u w:val="single"/>
        </w:rPr>
        <w:t>ООО «МНЗ»</w:t>
      </w:r>
      <w:r>
        <w:rPr>
          <w:color w:val="000000"/>
          <w:sz w:val="28"/>
          <w:szCs w:val="28"/>
        </w:rPr>
        <w:t>: в собственности ООО «МНЗ» находится квартальная котельная по адресу г. Одинцово, ул. Транспортная, 2 (свидетельство о государственной регистрации права собственности серия 50НВ №756326 от 02.08.2008), так же на балансе ООО «МНЗ» находятся внутриплощадные тепловые сети. Котельная ООО «МНЗ» обеспечивает как производственные и коммунально-бытовые нужды насосного завода, так и отпускает тепловую энергию «на сторону» для нужд отопления и горячего водоснабжения города. Установленная мощность котельной – 57,47 Гкал/ч.</w:t>
      </w:r>
    </w:p>
    <w:p>
      <w:pPr>
        <w:spacing w:line="360" w:lineRule="auto"/>
        <w:ind w:firstLine="567"/>
        <w:jc w:val="both"/>
        <w:rPr>
          <w:color w:val="000000"/>
          <w:sz w:val="28"/>
          <w:szCs w:val="28"/>
        </w:rPr>
      </w:pPr>
      <w:r>
        <w:rPr>
          <w:color w:val="000000"/>
          <w:sz w:val="28"/>
          <w:szCs w:val="28"/>
        </w:rPr>
        <w:t>Зона обслуживания – промышленные и административно-бытовые здания ООО «МНЗ», мкр. 8-8а (частично).</w:t>
      </w:r>
    </w:p>
    <w:p>
      <w:pPr>
        <w:spacing w:line="360" w:lineRule="auto"/>
        <w:ind w:firstLine="567"/>
        <w:jc w:val="both"/>
        <w:rPr>
          <w:color w:val="000000"/>
          <w:sz w:val="28"/>
          <w:szCs w:val="28"/>
        </w:rPr>
      </w:pPr>
      <w:r>
        <w:rPr>
          <w:b/>
          <w:color w:val="000000"/>
          <w:sz w:val="28"/>
          <w:szCs w:val="28"/>
          <w:u w:val="single"/>
        </w:rPr>
        <w:t>ОАО «ВЗОИ»</w:t>
      </w:r>
      <w:r>
        <w:rPr>
          <w:color w:val="000000"/>
          <w:sz w:val="28"/>
          <w:szCs w:val="28"/>
        </w:rPr>
        <w:t>: В собственности ОАО «ВЗОИ» находятся тепловые сети и котельная №2 1,72 Гкал/ч, обслуживающая нужды промплощадки №1, а котельная №1 5,16 Гкал/ч и тепловые сети от нее взяты в аренду у ЗАО «С.Д.-Капитал» по договору №01 на аренду недвижимого имущества от 01.09.2014.</w:t>
      </w:r>
    </w:p>
    <w:p>
      <w:pPr>
        <w:spacing w:line="360" w:lineRule="auto"/>
        <w:ind w:firstLine="567"/>
        <w:jc w:val="both"/>
        <w:rPr>
          <w:color w:val="000000"/>
          <w:sz w:val="28"/>
          <w:szCs w:val="28"/>
        </w:rPr>
      </w:pPr>
      <w:r>
        <w:rPr>
          <w:b/>
          <w:color w:val="000000"/>
          <w:sz w:val="28"/>
          <w:szCs w:val="28"/>
          <w:u w:val="single"/>
        </w:rPr>
        <w:t>ООО «БЗРИ»</w:t>
      </w:r>
      <w:r>
        <w:rPr>
          <w:color w:val="000000"/>
          <w:sz w:val="28"/>
          <w:szCs w:val="28"/>
        </w:rPr>
        <w:t>: в собственности ООО «БЗРИ» находится котельная по адресу г. Одинцово, ул. Вокзальная, 53 и тепловые сети от нее. Котельная ООО «БЗРИ» обеспечивает как производственные и коммунально-бытовые нужды завода, так и отпускает тепловую энергию «на сторону» для нужд отопления и горячего водоснабжения города. Установленная мощность котельной – 9,6 Гкал/ч. Зона обслуживания – промышленные и административно-бытовые зданий ООО «БЗРИ», мкр. 6 (частично).</w:t>
      </w:r>
    </w:p>
    <w:p>
      <w:pPr>
        <w:spacing w:line="360" w:lineRule="auto"/>
        <w:ind w:firstLine="567"/>
        <w:jc w:val="both"/>
        <w:rPr>
          <w:color w:val="000000"/>
          <w:sz w:val="28"/>
          <w:szCs w:val="28"/>
        </w:rPr>
      </w:pPr>
      <w:r>
        <w:rPr>
          <w:b/>
          <w:color w:val="000000"/>
          <w:sz w:val="28"/>
          <w:szCs w:val="28"/>
          <w:u w:val="single"/>
        </w:rPr>
        <w:t>ЗАО «ГТС»</w:t>
      </w:r>
      <w:r>
        <w:rPr>
          <w:color w:val="000000"/>
          <w:sz w:val="28"/>
          <w:szCs w:val="28"/>
        </w:rPr>
        <w:t>: в собственности ЗАО «Городские ТеплоСистемы» находится котельная, обеспечивающая тепловой энергией потребителей г. Одинцово (котельная «ул. Чистяковой, 30», 92,86 Гкал/ч). Так же в собственности ЗАО находятся тепловые сети от котельной.</w:t>
      </w:r>
    </w:p>
    <w:p>
      <w:pPr>
        <w:spacing w:line="360" w:lineRule="auto"/>
        <w:ind w:firstLine="567"/>
        <w:jc w:val="both"/>
        <w:rPr>
          <w:color w:val="000000"/>
          <w:sz w:val="28"/>
          <w:szCs w:val="28"/>
        </w:rPr>
      </w:pPr>
      <w:r>
        <w:rPr>
          <w:b/>
          <w:color w:val="000000"/>
          <w:sz w:val="28"/>
          <w:szCs w:val="28"/>
          <w:u w:val="single"/>
        </w:rPr>
        <w:t>АО «Ресурс</w:t>
      </w:r>
      <w:r>
        <w:rPr>
          <w:color w:val="000000"/>
          <w:sz w:val="28"/>
          <w:szCs w:val="28"/>
        </w:rPr>
        <w:t>»: в собственности АО «Ресурс» на территории Одинцовского р-на находится одна водогрейная котельная 54,17 Гкал/ч, обеспечивающая тепловой энергии потребителей жилого комплекса «Гусарская баллада», расположенного в п. ВНИИССОК Одинцовского муниципального района</w:t>
      </w:r>
    </w:p>
    <w:p>
      <w:pPr>
        <w:spacing w:line="360" w:lineRule="auto"/>
        <w:ind w:firstLine="567"/>
        <w:jc w:val="both"/>
        <w:rPr>
          <w:color w:val="000000"/>
          <w:sz w:val="28"/>
          <w:szCs w:val="28"/>
        </w:rPr>
      </w:pPr>
      <w:r>
        <w:rPr>
          <w:color w:val="000000"/>
          <w:sz w:val="28"/>
          <w:szCs w:val="28"/>
        </w:rPr>
        <w:t>МО и частично в границах «ТУ Одинцово». На востоке посёлок ВНИИССОК фактически сливается с городом Одинцово: жилой комплекс «Гусарская баллада» расположен одновременно в двух населённых пунктах (граница поселений разделяет территорию жилого комплекса на две части).</w:t>
      </w:r>
    </w:p>
    <w:p>
      <w:pPr>
        <w:spacing w:line="360" w:lineRule="auto"/>
        <w:ind w:firstLine="567"/>
        <w:jc w:val="both"/>
        <w:rPr>
          <w:color w:val="000000"/>
          <w:sz w:val="28"/>
          <w:szCs w:val="28"/>
        </w:rPr>
      </w:pPr>
      <w:r>
        <w:rPr>
          <w:b/>
          <w:color w:val="000000"/>
          <w:sz w:val="28"/>
          <w:szCs w:val="28"/>
          <w:u w:val="single"/>
        </w:rPr>
        <w:t>ООО «УНР-858»</w:t>
      </w:r>
      <w:r>
        <w:rPr>
          <w:color w:val="000000"/>
          <w:sz w:val="28"/>
          <w:szCs w:val="28"/>
        </w:rPr>
        <w:t>: в собственности ООО «УНР-858» находится одна мини-ТЭС 3,877Гкал/ч, обеспечивающая тепловой и электрической энергией собственный производственно-складской комплекс, расположенный в Западной промзоне г. Одинцово. Мини-ТЭС ООО «УНР-858» введена в эксплуатацию в октябре 2016 г.</w:t>
      </w:r>
    </w:p>
    <w:p>
      <w:pPr>
        <w:spacing w:line="360" w:lineRule="auto"/>
        <w:ind w:firstLine="567"/>
        <w:jc w:val="both"/>
        <w:rPr>
          <w:color w:val="000000"/>
          <w:sz w:val="28"/>
          <w:szCs w:val="28"/>
        </w:rPr>
      </w:pPr>
      <w:r>
        <w:rPr>
          <w:color w:val="000000"/>
          <w:sz w:val="28"/>
          <w:szCs w:val="28"/>
        </w:rPr>
        <w:t>По состоянию на 01.01.2018 зона действия котельной «Отрадное» была переключена на мини-ТЭС ООО «УНР-858», котельная «Отрадное» работает в режиме ЦТП до июля 2018 г.</w:t>
      </w:r>
    </w:p>
    <w:p>
      <w:pPr>
        <w:spacing w:line="360" w:lineRule="auto"/>
        <w:ind w:firstLine="567"/>
        <w:jc w:val="both"/>
        <w:rPr>
          <w:color w:val="000000"/>
          <w:sz w:val="28"/>
          <w:szCs w:val="28"/>
        </w:rPr>
      </w:pPr>
      <w:r>
        <w:rPr>
          <w:b/>
          <w:color w:val="000000"/>
          <w:sz w:val="28"/>
          <w:szCs w:val="28"/>
          <w:u w:val="single"/>
        </w:rPr>
        <w:t>СМУ-158</w:t>
      </w:r>
      <w:r>
        <w:rPr>
          <w:color w:val="000000"/>
          <w:sz w:val="28"/>
          <w:szCs w:val="28"/>
        </w:rPr>
        <w:t>: в собственности СМУ-158 находится одна паровая котельная 18,1 Гкал/ч. Котельная СМУ-158 обеспечивает как производственные и коммунально-бытовые нужды потребителей тепловой энергии, расположенных на промплощадке СМУ-158, так и отпускает тепловую энергию «на сторону» для нужд отопления и горячего водоснабжения города (жилой многоквартирный дом по адресу ул. Полевая, 3 и т.д.).</w:t>
      </w:r>
    </w:p>
    <w:p>
      <w:pPr>
        <w:spacing w:line="360" w:lineRule="auto"/>
        <w:ind w:firstLine="567"/>
        <w:jc w:val="both"/>
        <w:rPr>
          <w:color w:val="000000"/>
          <w:sz w:val="28"/>
          <w:szCs w:val="28"/>
        </w:rPr>
      </w:pPr>
      <w:r>
        <w:rPr>
          <w:b/>
          <w:color w:val="000000"/>
          <w:sz w:val="28"/>
          <w:szCs w:val="28"/>
          <w:u w:val="single"/>
        </w:rPr>
        <w:t>ООО «Теплоинжсервис»:</w:t>
      </w:r>
      <w:r>
        <w:rPr>
          <w:color w:val="000000"/>
          <w:sz w:val="28"/>
          <w:szCs w:val="28"/>
        </w:rPr>
        <w:t xml:space="preserve"> осуществляет обслуживание и эксплуатацию ЦТП-17 и тепловых сетей от ЦТП до потребителей в 5 микрорайоне г. Одинцово.</w:t>
      </w:r>
    </w:p>
    <w:p>
      <w:pPr>
        <w:spacing w:line="360" w:lineRule="auto"/>
        <w:ind w:firstLine="567"/>
        <w:jc w:val="both"/>
        <w:rPr>
          <w:color w:val="000000"/>
          <w:sz w:val="28"/>
          <w:szCs w:val="28"/>
        </w:rPr>
      </w:pPr>
      <w:r>
        <w:rPr>
          <w:b/>
          <w:color w:val="000000"/>
          <w:sz w:val="28"/>
          <w:szCs w:val="28"/>
          <w:u w:val="single"/>
        </w:rPr>
        <w:t>ООО «Теплосервис-М»</w:t>
      </w:r>
      <w:r>
        <w:rPr>
          <w:color w:val="000000"/>
          <w:sz w:val="28"/>
          <w:szCs w:val="28"/>
        </w:rPr>
        <w:t>: в собственности ООО «Теплосервис-М» с 2017 г. находится одна блочно-модульная водогрейная котельная БМК «Импульс» установленной мощностью 24,68 Гкал/ч. БМК «Импульс» обеспечивает нужды уже существующих, строящихся и запроектированных к строительству объектов UP-квартал «Сколковский».</w:t>
      </w:r>
    </w:p>
    <w:p>
      <w:pPr>
        <w:spacing w:line="360" w:lineRule="auto"/>
        <w:ind w:firstLine="567"/>
        <w:jc w:val="both"/>
        <w:rPr>
          <w:color w:val="000000"/>
          <w:sz w:val="28"/>
          <w:szCs w:val="28"/>
        </w:rPr>
      </w:pPr>
      <w:r>
        <w:rPr>
          <w:b/>
          <w:color w:val="000000"/>
          <w:sz w:val="28"/>
          <w:szCs w:val="28"/>
          <w:u w:val="single"/>
        </w:rPr>
        <w:t>ООО «ТеплоЭнергоСервис»</w:t>
      </w:r>
      <w:r>
        <w:rPr>
          <w:color w:val="000000"/>
          <w:sz w:val="28"/>
          <w:szCs w:val="28"/>
        </w:rPr>
        <w:t>: в эксплуатационной ответственности ООО «ТеплоЭнергоСервис» с 2011 г. находится одна водогрейная котельная мкр. Немчиновка установленной мощностью 31 Гкал/ч. Котельная мкр. Немчиновка обеспечивает нужды жилых и общественных зданий мкр. Немчиновка.</w:t>
      </w:r>
    </w:p>
    <w:p>
      <w:pPr>
        <w:spacing w:line="360" w:lineRule="auto"/>
        <w:ind w:firstLine="567"/>
        <w:jc w:val="both"/>
        <w:rPr>
          <w:color w:val="000000"/>
          <w:sz w:val="28"/>
          <w:szCs w:val="28"/>
        </w:rPr>
      </w:pPr>
      <w:r>
        <w:rPr>
          <w:b/>
          <w:color w:val="000000"/>
          <w:sz w:val="28"/>
          <w:szCs w:val="28"/>
          <w:u w:val="single"/>
        </w:rPr>
        <w:t>ФГБУ «ЦЖКУ»</w:t>
      </w:r>
      <w:r>
        <w:rPr>
          <w:color w:val="000000"/>
          <w:sz w:val="28"/>
          <w:szCs w:val="28"/>
        </w:rPr>
        <w:t>: в эксплуатационной ответственности ФГБУ «ЦЖКУ» с 2017 г. находится блочно-модульная водогрейная котельная в мкр. п. Баковка, в/г №20 установленной мощностью 8 Гкал/ч. БМК в/г №20 обеспечивает нужды жилых и прочих объектов военного городка.</w:t>
      </w:r>
    </w:p>
    <w:p>
      <w:pPr>
        <w:spacing w:line="360" w:lineRule="auto"/>
        <w:ind w:firstLine="567"/>
        <w:jc w:val="both"/>
        <w:rPr>
          <w:color w:val="000000"/>
          <w:sz w:val="28"/>
          <w:szCs w:val="28"/>
        </w:rPr>
      </w:pPr>
      <w:r>
        <w:rPr>
          <w:color w:val="000000"/>
          <w:sz w:val="28"/>
          <w:szCs w:val="28"/>
        </w:rPr>
        <w:t>Зона действия индивидуального теплоснабжения формируются, как правило, в населенных пунктах с индивидуальной малоэтажной жилой застройкой, которая не присоединена к системе централизованного теплоснабжения. Теплоснабжение жителей осуществляется от индивидуальных газовых котлов или печного отопления.</w:t>
      </w:r>
    </w:p>
    <w:p>
      <w:pPr>
        <w:spacing w:line="360" w:lineRule="auto"/>
        <w:ind w:firstLine="567"/>
        <w:jc w:val="both"/>
        <w:rPr>
          <w:color w:val="000000"/>
          <w:sz w:val="28"/>
          <w:szCs w:val="28"/>
        </w:rPr>
      </w:pPr>
      <w:r>
        <w:rPr>
          <w:color w:val="000000"/>
          <w:sz w:val="28"/>
          <w:szCs w:val="28"/>
        </w:rPr>
        <w:t>Кроме того, потребители тепла, оборудованные индивидуальными источниками тепла, есть на территории всех населенных пунктов, оборудованных источниками централизованного теплоснабжения.</w:t>
      </w:r>
    </w:p>
    <w:p>
      <w:pPr>
        <w:spacing w:line="360" w:lineRule="auto"/>
        <w:ind w:firstLine="567"/>
        <w:jc w:val="both"/>
        <w:rPr>
          <w:color w:val="000000"/>
          <w:sz w:val="28"/>
          <w:szCs w:val="28"/>
        </w:rPr>
      </w:pPr>
      <w:r>
        <w:rPr>
          <w:color w:val="000000"/>
          <w:sz w:val="28"/>
          <w:szCs w:val="28"/>
        </w:rPr>
        <w:t xml:space="preserve">Существует три типа договоров, которые заключают в сфере теплоснабжения. Первый тип включает договора теплоснабжающих и теплосетевых организаций с поставщиками ресурсов (коммунальные, трудовые, материальные и т.п.), необходимых для производства, транспорта и распределения тепловой энергии и горячей воды. Второй тип включает договора с потребителями (за исключением многоквартирных домов, договорные отношения с которым осуществляются через управляющие компании, товарищества собственников жилья, жилищные и жилищно-строительные кооперативы). Третий тип договоров заключается производителями тепловой энергии с теплосетевой организацией на передачу и распределение тепловой энергии и горячей воды.  </w:t>
      </w:r>
    </w:p>
    <w:p>
      <w:pPr>
        <w:spacing w:line="360" w:lineRule="auto"/>
        <w:ind w:firstLine="567"/>
        <w:jc w:val="both"/>
        <w:rPr>
          <w:color w:val="000000"/>
          <w:sz w:val="28"/>
          <w:szCs w:val="28"/>
        </w:rPr>
      </w:pPr>
      <w:r>
        <w:rPr>
          <w:color w:val="000000"/>
          <w:sz w:val="28"/>
          <w:szCs w:val="28"/>
        </w:rPr>
        <w:t>Финансовые взаимоотношения устроены сообразно договорным. В случае договоров первой и третьей группы поставщик тепловой энергии и горячей воды осуществляет финансовые расходы. Наоборот, в случае договоров второй группы – получает доходы, так как уже сам осуществляет поставку услуги.</w:t>
      </w:r>
    </w:p>
    <w:p>
      <w:pPr>
        <w:spacing w:line="360" w:lineRule="auto"/>
        <w:ind w:firstLine="567"/>
        <w:jc w:val="both"/>
        <w:rPr>
          <w:color w:val="000000"/>
          <w:sz w:val="28"/>
          <w:szCs w:val="28"/>
        </w:rPr>
      </w:pPr>
      <w:r>
        <w:rPr>
          <w:color w:val="000000"/>
          <w:sz w:val="28"/>
          <w:szCs w:val="28"/>
        </w:rPr>
        <w:t>Теплоснабжающие организации имеют договора на поставку тепловой энергии и горячей воды с населением, которые либо заключаются с управляющими компаниями, товариществами собственников жилья, жилищными и жилищно-строительными кооперативами, обслуживающими многоквартирный жилой фонд, либо заключаются напрямую в случае индивидуально-определенных зданий, подключенных к централизованным системам теплоснабжения. Отдельно заключаются договора на поставку тепловой энергии и горячей воды с юридическими лицами (бюджетные и прочие организации).</w:t>
      </w:r>
    </w:p>
    <w:p>
      <w:pPr>
        <w:spacing w:line="360" w:lineRule="auto"/>
        <w:ind w:firstLine="567"/>
        <w:jc w:val="both"/>
        <w:rPr>
          <w:color w:val="000000"/>
          <w:sz w:val="28"/>
          <w:szCs w:val="28"/>
        </w:rPr>
      </w:pPr>
      <w:r>
        <w:rPr>
          <w:color w:val="000000"/>
          <w:sz w:val="28"/>
          <w:szCs w:val="28"/>
        </w:rPr>
        <w:t>В качестве основного топлива на 28 котельных используется природный газ, одна котельная работает на сжиженном углеводородном газе (СУГ) – котельная «Отрадное». По состоянию на 01.01.2018 зона действия котельной «Отрадное» была переключена на мини-ТЭС ООО «УНР-858», котельная «Отрадное» работает в режиме ЦТП до июля 2018 г. Из 28 котельных, работающих на природном газе, на 12-ти топливным режимом предусмотрено резервное топливо - дизельное топливо, а на 4-х котельных - мазут.</w:t>
      </w:r>
    </w:p>
    <w:p>
      <w:pPr>
        <w:spacing w:line="360" w:lineRule="auto"/>
        <w:jc w:val="both"/>
        <w:rPr>
          <w:color w:val="000000"/>
          <w:sz w:val="28"/>
          <w:szCs w:val="28"/>
        </w:rPr>
      </w:pPr>
      <w:r>
        <w:rPr>
          <w:color w:val="000000"/>
          <w:sz w:val="28"/>
          <w:szCs w:val="28"/>
        </w:rPr>
        <w:t xml:space="preserve">Суммарная установленная мощность котельных составляет 767,809 Гкал/ч. Суммарная располагаемая мощность котельных составляет 756,946 Гкал/ч. Отпуск тепловой энергии осуществляется на отопление, вентиляцию и горячее водоснабжение (ГВС) потребителей. Суммарная присоединенная нагрузка потребителей составляет – 601,735 Гкал/ч. Суммарный отпуск тепловой энергии с коллекторов котельных в целом по предприятиям на базовый период составил 1310,766 тыс. Гкал. </w:t>
      </w:r>
    </w:p>
    <w:p>
      <w:pPr>
        <w:pStyle w:val="3"/>
        <w:numPr>
          <w:ilvl w:val="2"/>
          <w:numId w:val="30"/>
        </w:numPr>
        <w:pBdr>
          <w:bottom w:val="single" w:color="auto" w:sz="4" w:space="1"/>
        </w:pBdr>
        <w:tabs>
          <w:tab w:val="left" w:pos="1276"/>
        </w:tabs>
        <w:spacing w:before="300" w:after="200"/>
        <w:rPr>
          <w:rFonts w:ascii="Times New Roman" w:hAnsi="Times New Roman"/>
          <w:i w:val="0"/>
          <w:color w:val="000000"/>
          <w:sz w:val="30"/>
          <w:szCs w:val="30"/>
        </w:rPr>
      </w:pPr>
      <w:bookmarkStart w:id="12" w:name="_Toc21015030"/>
      <w:r>
        <w:rPr>
          <w:rFonts w:ascii="Times New Roman" w:hAnsi="Times New Roman"/>
          <w:i w:val="0"/>
          <w:color w:val="000000"/>
          <w:sz w:val="30"/>
          <w:szCs w:val="30"/>
        </w:rPr>
        <w:t>Анализ существующего технического состояния</w:t>
      </w:r>
      <w:bookmarkEnd w:id="12"/>
    </w:p>
    <w:p>
      <w:pPr>
        <w:spacing w:line="360" w:lineRule="auto"/>
        <w:ind w:firstLine="567"/>
        <w:jc w:val="both"/>
        <w:rPr>
          <w:b/>
          <w:sz w:val="28"/>
          <w:szCs w:val="20"/>
        </w:rPr>
      </w:pPr>
      <w:r>
        <w:rPr>
          <w:b/>
          <w:sz w:val="28"/>
          <w:szCs w:val="20"/>
        </w:rPr>
        <w:t>Котельная №1 АО «Одинцовская теплосеть»</w:t>
      </w:r>
    </w:p>
    <w:p>
      <w:pPr>
        <w:spacing w:line="360" w:lineRule="auto"/>
        <w:ind w:firstLine="567"/>
        <w:jc w:val="both"/>
        <w:rPr>
          <w:sz w:val="28"/>
          <w:szCs w:val="20"/>
        </w:rPr>
      </w:pPr>
      <w:r>
        <w:rPr>
          <w:sz w:val="28"/>
          <w:szCs w:val="20"/>
        </w:rPr>
        <w:t>Котельная расположена по адресу г. Одинцово, ул. Садовая, 11. Тип котельной - отдельностоящая. Котельная принята в эксплуатацию в 1964 году. КПД котельной - 90,8%. Режим работы котельной круглогодичный. Основным топливом является природный газ, резервное топливо в котельной не предусмотрено. Котельная №1 предназначена для выработки тепловой энергии на нужды отопления и горячего водоснабжения.</w:t>
      </w:r>
    </w:p>
    <w:p>
      <w:pPr>
        <w:spacing w:line="360" w:lineRule="auto"/>
        <w:ind w:firstLine="567"/>
        <w:jc w:val="both"/>
        <w:rPr>
          <w:sz w:val="28"/>
          <w:szCs w:val="20"/>
        </w:rPr>
      </w:pPr>
      <w:r>
        <w:rPr>
          <w:sz w:val="28"/>
          <w:szCs w:val="20"/>
        </w:rPr>
        <w:t>На котельной №1 установлено 5 паровых котлов, работающих в водогрейном режиме, общей производительностью 40,87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 – 10 шт.</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течение отопительного сезона все котлоагрегаты эксплуатируются постоянно. Состояние котлов хорошее, нарушений режимов эксплуатации не производится. Котельную обслуживает квалифицированный персонал, выполняющий требования должностных инструкций, правил технической эксплуатации, правил Федеральной службы по экологическому, технологическому и атомному надзору (Госгортехнадзор) РФ.</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№1-а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Маршала Жукова, 16-а. Тип котельной - отдельностоящая. Котельная принята в эксплуатацию в 1977 году. КПД котельной - 90,7%. Режим работы котельной круглогодичный. Основным топливом является природный газ, резервное топливо в котельной не предусмотрено. Котельная №1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№1-а установлено 3 паровых котла, работающих в водогрейном режиме, общей производительность 23,28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 – 6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№2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Северная. 34. Тип котельной - отдельностоящая. Котельная принята в эксплуатацию в 1964 году. КПД котельной - 90,5%. Режим работы котельной круглогодичный. Основным топливом является природный газ, резервное топливо в котельной не предусмотрено. Котельная №2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№2 установлено 4 паровых котла, работающих в водогрейном режиме, общей производительность 30,6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 – 8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№3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Маршала Бирюзова, 14-б. Тип котельной - отдельностоящая. Котельная принята в эксплуатацию в 1968 году. КПД котельной – 91,4%.</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Режим работы котельной круглогодичный. Основным топливом является природный газ, резервное топливо в котельной не предусмотрено. Котельная №3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№3 установлено 5 паровых котлов, работающих в водогрейном режиме, общей производительностью 42,08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 – 10 шт.</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приготовления питательной воды используется одноступенчатое Na-катионирование. Водоподготовительная установка (ВПУ) состоит из трех Na-катионитовых фильтров.</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№4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Маршала Бирюзова, 14-б. Тип котельной - отдельностоящая. Котельная принята в эксплуатацию в 1980 году. КПД котельной – 90,6%.</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Режим работы котельной круглогодичный. Основным топливом является природный газ, резервное топливо - мазут. Котельная №4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№4 установлено 4водогрейных котла, общей производительностью 139,9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МГМГ-6– 6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№6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Вокзальная, 53-а. Тип котельной - отдельностоящая. Котельная принята в эксплуатацию в 1970 году. КПД котельной –88,7%. Режим работы котельной круглогодичный. Основным топливом является природный газ, резервное топливо на котельной не предусмотрено. Котельная №6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№6 установлено 2 паровых котла, работающих в водогрейном режиме, общей производительностью 15,75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 – 4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№7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Можайское ш., 50-а. Тип котельной - отдельностоящая. Котельная принята в эксплуатацию в 1975 году. КПД котельной –91,6%. Режим работы котельной круглогодичный. Основным топливом является природный газ, резервное топливо - мазут. Резервное топливное хозяйство (РТХ) находится в нерабочем состоянии. Котельная №7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№7 установлено 3 паровых котла, работающих в водогрейном режиме, общей производительностью 51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ГГМЭ –3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№8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Комсомольская, 16-б. Тип котельной -отдельностоящая. Котельная принята в эксплуатацию в 1972 году. КПД котельной –85,9%. Режим работы котельной круглогодичный. Основным топливом является природный газ, резервное топливо на котельной не предусмотрено. Котельная №8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№8 установлено 3водогрейных котла, общей производительностью 24,9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№8-а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Союзная, 7-а. Тип котельной - отдельностоящая. Котельная принята в эксплуатации в 1985 году. КПД котельной –90,7%. Режим работы котельной круглогодичный. Основным топливом является природный газ, резервное топливо на котельной не предусмотрено. Котельная №8-а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№8-а установлено 3паровых котла, работающих в водогрейном режиме, общей производительностью 22,95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ГМГ-5,5/7,0 – 6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«Университет»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Ново-Спортивная, 3. Тип котельной – отдельностоящая. Котельная принята в эксплуатацию в 2005 году. КПД котельной –93,6%. Режим работы котельной круглогодичный. Основным топливом является природный газ, резервное - дизтопливо. Котельная «Университет» предназначена для выработки тепловой энергии на нужды отопления и горячего водоснабжения зданий и сооружений Одинцовского гуманитарного университета.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«Университет» установлено 3водогрейных жаротрубных котла, общей производительностью 6,02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«Отрадное»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Молодежная, 1-в. Тип котельной – отдельностоящая. Котельная принята в эксплуатацию в 2006 году. КПД котельной –90,5%. Режим работы котельной круглогодичный. Основным топливом является сжиженный углеводородный газ, резервное - дизтопливо. Котельная «Отрадное»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«Отрадное» установлено 2водогрейных котла, общей производительностью 1,4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Городской бани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Можайское ш.. 8. Тип котельной – отдельностоящая. Котельная принята в эксплуатацию в 1987 году. КПД котельной –84,2%. Режим работы котельной круглогодичный. Основным топливом является природный газ, резервное топливо в котельной не предусмотрено. Котельная Городской бани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Городской бани установлено 4паровых котла, работающих в водогрейном режиме (котлы вертикальные водотрубные цилиндрические), общей производительностью 2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Г-1,0 – 4 шт.</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«Одинцово-1»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военный городок №315. Тип котельной – отдельностоящая. Котельная принята в эксплуатацию в 1959 году. КПД котельной –82,3%. Режим работы котельной круглогодичный. Основным топливом является природный газ, резервное топливо в котельной не предусмотрено. Котельная «Одинцово-1»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«Одинцово-1» установлено 8 водогрейных котлов, общей производительностью 9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д/о «Озера»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Одинцовский р-н, п. д/о «Озера», 1а. Тип котельной – отдельностоящая. Котельная принята в эксплуатацию в 2007 году. КПД котельной –98,5%. Режим работы котельной круглогодичный. Основным топливом является природный газ, резервное - дизтопливо. Котельная д/о «Озера» предназначена для выработки тепловой энергии на нужды отопления и горячего водоснабжения зданий п. д/о «Озера».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д/о «Озера» установлено 2 водогрейных котла общей производительностью 0,79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WG 40 Weishaupt – 2 шт.</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дымовых газов установлены две металлические дымовые трубы высотой 15,2 м с диаметрами устьев 0,315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Автоматизированная котельная «СОЦентр»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Одинцовский р-н, с. Ромашково. Тип котельной – отдельностоящая. Котельная принята в эксплуатацию в 2004 году. КПД котельной – 98,5%. Режим работы котельной круглогодичный. Котельная «СОЦентр» предназначена для выработки тепловой энергии на нужды отопления и горячего водоснабжения зданий Одинцовского дома-интерната для граждан пожилого возраста и инвалидов.</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«СОЦентр» установлено 2 водогрейных котла общей производительностью 0,19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WG 40 Weishaupt – 2 шт.</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дымовых газов установлены две металлические дымовые трубы высотой 12 м с диаметрами устьев 0,15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«Запрудная»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Одинцовский р-н, с. Немчиновка, ул. 2-я Запрудная. Тип котельной – отдельностоящая. Котельная принята в эксплуатацию в 1965 году. КПД котельной – 96,5%. Режим работы котельной сезонный. Основным топливом является природный газ, резервное топливо не предусмотрено. Котельная «Запрудная» предназначена для выработки тепловой энергии на нужды отопления жилого многоквартирного дома.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«Запрудная» установлено 2 водогрейных котла общей производительностью 0,07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«Трехгорка»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Чистяковой, 26. Тип котельной – отдельностоящая. Котельная принята в эксплуатацию в 2004 году. Режим работы котельной круглогодичный. Основным топливом является природный газ, резервное топливо - дизтопливо. Котельная «Трехгорка» предназначена для выработки тепловой энергии на нужды отопления и горячего водоснабжения зданий мкр. Кутузовский.</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«Трехгорка» установлено 6водогрейных котлов (котлы трехходовые жаротрубно-дымогарные) общей производительностью 30,96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Водогрейные котлы оборудованы расположенными по фронту горелочными устройствами.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Горелки оборудованы бесступенчатым регулятором мощности и нагнетающим вентилятором.</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Управление работой горелки и автоматики безопасности котла осуществляется со щитов управления ОК100.</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Пар от паровых котлов поступает на пароводяные сетевые теплообменники и теплообменники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дымовых газов установлены две металлические дымовые трубы высотой 30 м с диаметрами устьев 1,55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ООО «МНЗ»</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Транспортная, 2. Тип котельной – отдельностоящая. КПД котельной –80,4%. Режим работы котельной круглогодичный. Основным топливом является природный газ, резервное топливо – легкое нефтяное. Котельная ООО «МНЗ» предназначена для выработки тепловой энергии на нужды отопления и горячего водоснабжения производственных и административно бытовых зданий ООО «МНЗ» и потребителей тепловой энергии г. Одинцово, а так же на технологические нужды завода.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ООО «МНЗ» установлено 2 водогрейных и 2 паровых котла (паровой котел ст. №1 – на консервации) общей производительностью 40,5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Водогрейные котлы оборудованы расположенными по фронту горелочными устройствами типа SKVG-A102-30 и SKVJG-50-15.</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Пар от паровых котлов поступает на пароводяные сетевые теплообменники и теплообменники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дымовых газов установлены две кирпичные дымовые трубы высотой 30 м с диаметрами устьев 0,9 м и 0,8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№1 ОАО «ВЗОИ»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Маковского, 7. Тип котельной – отдельностоящая. Котельная принята в эксплуатацию в 1978 году. Режим работы котельной круглогодичный. Основным топливом является природный газ, так же на котельной предусмотрено резервное топливо. Котельная №1 ОАО «ВЗОИ» предназначена для выработки тепловой энергии на нужды отопления и горячего водоснабжения производственных и административно бытовых зданий промплощадки №1 ОАО «ВЗОИ».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№1ОАО «ВЗОИ» установлено 3водогрейных котла общей производительностью 2,58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Г-1,0 и автоматикой типа АМКО 1-В-ГП с блоком управления розжига и сигнализации (БУРС-1В).</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дымовых газов установлена одна металлическая дымовая труба высотой 10 м с диаметром устья 0,35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№2 ОАО «ВЗОИ»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Союзная, 7. Режим работы котельной круглогодичный. Основным топливом является природный газ, резервное топливо – не предусмотрено. Котельная №2 ОАО «ВЗОИ» предназначена для выработки тепловой энергии на нужды отопления и горячего водоснабжения производственных и административно бытовых зданий промплощадки №2 ОАО «ВЗОИ».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№2 ОАО «ВЗОИ» установлено 2водогрейных и паровой котлы общей производительностью 6,22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Котлы оборудованы расположенными по фронту горелочными устройствами типа Г-1,0 и автоматикой типа АМКО 1-В-ГП с блоком управления розжига и сигнализации (БУРС-1В).</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«ул. Чистяковой, 30» ЗАО «ГТС»</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Чистяковой, 30. Тип котельной – отдельностоящая. Котельная принята в эксплуатацию в 2009 году. КПД котельной – 87,7%. Режим работы котельной круглогодичный. Основным топливом является природный газ, резервное топливо – легкое нефтяное. Котельная «ул. Чистяковой, 30» предназначена для выработки тепловой энергии на нужды отопления и горячего водоснабжения зданий мкр. Новая Трехгорка.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«ул. Чистяковой, 30» установлено 6 водогрейных котлов общей производительностью 92,88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ООО «БЗРИ»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Вокзальная, 53. Тип котельной – отдельностоящая. Котельная принята в эксплуатацию в 1990 году. Режим работы котельной круглогодичный. Основным топливом является природный газ, резервное топливо – дизтопливо. Котельная ООО «БЗРИ» предназначена для выработки тепловой энергии на нужды отопления и горячего водоснабжения производственных и административно-бытовых зданий ООО «БЗРИ», и потребителей тепловой энергии г. Одинцово, а так же на технологические нужды завода.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ООО «БЗРИ» установлено 2 паровых и 2 водогрейных котла общей производительностью 9,6 Гкал/ч.</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Паровые котлы оснащены комбинированными горелками Weishaupt GL 8/1-D и Weishaupt GL 7/1-D. Водогрейные котлы оснащены комбинированными горелками Weishaupt RGL 50/2-A и Weishaupt RGL 70/2-A.</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Для отвода продуктов сгорания установлена металлическая дымовая труба высотой 30 м каждая с диаметрами устьев 1,0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№9 АО «Одинцовская теплосеть»</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Белорусская, 1. Тип котельной - отдельностоящая. Котельная принята в эксплуатацию в 2011 году. Режим работы котельной круглогодичный. Основным топливом является природный газ, резервное топливо в котельной не предусмотрено. Котельная №9 предназначена для выработки тепловой энергии на нужды отопления и горячего водоснабжения.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котельной №9 установлено 3 водогрейных котла общей производительностью 35,6 Гкал/ч.</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№2 АО «Ресурс»</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п. ВНИИССОК, ул. Михаила Кутузова, 3а. Котельная осуществляет теплоснабжение потребителей жилого и коммунально-бытового сектора ЖК «Гусарская баллада», расположенного одновременно в двух населённых пунктах (граница поселений разделяет территорию жилого комплекса на две части). Тип котельной - отдельностоящая. Котельная принята в эксплуатацию в 2008 году. Режим работы котельной круглогодичный. Основным топливом является природный газ, резервное – диз. топливо. Котельная №2 предназначена для выработки энергии на нужды отопления и горячего водоснабжения жилищного комплекса «Гусарская баллада».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комплекс котельной входят: здание котельной с дымовыми трубами, склад резервного топлива, топливонасосная, эстакада слива топлива с приемными емкостями. КПД котельной - 92%.</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котельной установлено три водогрейных котла марки Vitomax 200 HW M238, мощностью 10000 кВт (8,6 Гкал/ч) каждый и два котла марки ТТ-01, мощностью 16500 кВт (14,2 Гкал/ч) каждый. Котлы работают в автоматическом режиме и оснащены комбинированными горелками Weishaupt WKGL-70/2-A и HRX2080MG.MD.S.RU.F.125.EI соответственно.</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Мини-ТЭС ООО «УНР-858»</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Западная промзона. Тип мини-ТЭС – модульная отдельно стоящая. Источник тепловой энергии принят в эксплуатацию в 2016 году. Режим работы - сезонный. Основным топливом является природный газ, резервное топливо не предусмотрено. Мини-ТЭС предназначена для выработки тепловой и электрической энергии на нужды тепло- и электроснабжения производственно-складского комплекса ООО «УНР-858». Мини-ТЭС предназначена для работы в автоматическом режиме без постоянного присутствия обслуживающего персонала. Здание мини-ТЭС выполнено блочно-модульным, состоящим из семи блоков, изготовленных в заводских условиях и привезенных на площадку заказчика автомобильным транспортом. Все элементы каркаса выполнены из металлопроката.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Мини-ТЭС выполнена на базе двух водогрейных котлов Vitoplex-100 тип РV1 производства компании «Viessmann» тепловой мощностью 0,78 МВт с горелками Сib Unigas P65MPR.S.RU.A.7.70 (обеспечивающих минимальные выбросы в атмосферу загрязняющих веществ, при этом КПД установки достигает 94%), и двух газопоршневых генераторных установок PG750B производства «FG Wilson» электрической мощностью 600 кВт с системой утилизации тепла (обеспечивающих минимальные выбросы в атмосферу загрязняющих веществ, при этом КПД (электрический) установки достигает 36%).</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СМУ-158</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Можайское ш., 27 км. Тип котельной – отдельно стоящая, мощностью 18,1 Гкал/ч. Режим работы котельной круглогодичный. Основным топливом является природный газ, резервное топливо не предусмотрено. Котельная СМУ-158 обеспечивает как производственные и коммунально-бытовые нужды потребителей тепловой энергии, расположенных на промплощадке СМУ-158, так и отпускает тепловую энергию «на сторону» для нужд отопления и горячего водоснабжения города.</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БМК «Импульс» ООО «Теплосервис-М»</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г. Одинцово, ул. Чистяковой, UP-квартал «Сколковский». Тип котельной - отдельностоящая. Режим работы котельной круглогодичный. Основным топливом является природный газ, в качестве резервного топлива предусмотрено диз. топливо.</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БМК «Импульс» обеспечивает нужды отопления и горячего водоснабжения уже построенных, строящихся и запроектированных к строительству объектов жилищного фонда и общественных зданий нового жилого комплекса UP-квартал «Сколковский» в районе ул. Чистяковой.</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комплекс котельной входят: здание котельной с дымовой трубой, склад резервного топлива, топливонасосная, эстакада слива топлива с приемными емкостями.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котельной установлено три водогрейных котла марки Термотехник ТТ100-01, мощностью 10000 кВт (8,6 Гкал/ч) – 2 ед. и 8700 кВт (7,482 Гкал/ч). Котлы работают в автоматическом режиме и оснащены комбинированными горелками CIBUNIGAZ S.p.A HR1040 MG.PR.S.RU.A.8.100.EC. Все котлы находятся в исправном рабочем состоянии.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Схема теплоснабжения - закрытая, двухтрубная.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Отвод дымовых газов осуществляется от трех котлов в одну металлическую дымовую трубу, состоящую из трех стволов, диаметрами 0,9 м – 2 ед., 0,8 – 1 ед. и высотой 60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Котельная мкр. Немчиновка ООО «ТеплоЭнергоСервис»</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Котельная расположена по адресу ТУ Одинцово, мкр. Немчиновка, ул. Связистов, ЖК «Немчиновка». Тип котельной - отдельностоящая. Режим работы котельной круглогодичный. Основным топливом является природный газ. Котельная мкр. Немчиновка обеспечивает нужды отопления и горячего водоснабжения жилых и общественных зданий мкр. Немчиновка.</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котельной установлено три водогрейных котла марки Vitomax 200 LW М 64А мощностью 12000 кВт (10,32 Гкал/ч) каждый. Котлы работают в автоматическом режиме и оснащены комбинированными горелками SAACKE GLS 155-45. Все котлы находятся в исправном рабочем состоянии.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Схема теплоснабжения - закрытая, двухтрубная до ЦТП, четырехтрубная – после ЦТП.</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Отвод дымовых газов осуществляется от трех котлов в одну металлическую дымовую трубу, состоящую из трех газоходов, диаметрами 0,8 м и высотой 60 м. Диаметр устья трубы – 2,7 м.</w:t>
      </w:r>
    </w:p>
    <w:p>
      <w:pPr>
        <w:autoSpaceDE w:val="0"/>
        <w:autoSpaceDN w:val="0"/>
        <w:adjustRightInd w:val="0"/>
        <w:spacing w:line="360" w:lineRule="auto"/>
        <w:ind w:firstLine="567"/>
        <w:jc w:val="both"/>
        <w:rPr>
          <w:rFonts w:eastAsia="Calibri"/>
          <w:b/>
          <w:color w:val="000000"/>
          <w:sz w:val="28"/>
          <w:szCs w:val="28"/>
        </w:rPr>
      </w:pPr>
      <w:r>
        <w:rPr>
          <w:rFonts w:eastAsia="Calibri"/>
          <w:b/>
          <w:color w:val="000000"/>
          <w:sz w:val="28"/>
          <w:szCs w:val="28"/>
        </w:rPr>
        <w:t>БМК в/г №20 ФГБУ «ЦЖКУ»</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БМК расположена по адресу г. Одинцово, мкр. п. Баковка, военный городок №20. Тип котельной - отдельностоящая. Режим работы котельной круглогодичный. Основным топливом является природный газ. БМК в/г №20 обеспечивает нужды отопления и горячего водоснабжения Котельная мкр. Немчиновка обеспечивает нужды военного городка №20 мкр. п. Баковка, ж/д: №№ 41, 42, 52, 53, 51, Минское ш., №№ 9, 11, 13.</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В котельной установлено четыре водогрейных котла марки Vitoplex 100 мощностью 2,0 МВт каждый. Все котлы находятся в исправном рабочем состоянии. Котельная двухконтурная, на котельной установлены теплообменные аппараты для приготовления теплоносителя на нужды отопления и горячего водоснабжения потребителей РИДАН: НН №65 ТУ 3612-001-72323163-2006 – 2 ед., НН №22 ТУ 3612-001-72323163-2006 – 2 ед.</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Схема теплоснабжения - закрытая, четырехтрубная (подающий и обратный трубопроводы отопления, подающий и циркуляционный трубопроводы ГВС).</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Отвод дымовых газов осуществляется от четырех котлов в четырехствольную металлическую дымовую трубу.</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На источниках тепловой энергии «ТУ Одинцово» имеются ограничения установленной тепловой мощности в горячей воде, связанные с работой основного оборудования.</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 xml:space="preserve">Значения установленной и располагаемой мощности котельных «ТУ Одинцово» – </w:t>
      </w:r>
      <w:r>
        <w:rPr>
          <w:rFonts w:eastAsia="Calibri"/>
          <w:b/>
          <w:color w:val="000000"/>
          <w:sz w:val="28"/>
          <w:szCs w:val="28"/>
        </w:rPr>
        <w:t>767,809</w:t>
      </w:r>
      <w:r>
        <w:rPr>
          <w:rFonts w:eastAsia="Calibri"/>
          <w:color w:val="000000"/>
          <w:sz w:val="28"/>
          <w:szCs w:val="28"/>
        </w:rPr>
        <w:t xml:space="preserve"> и </w:t>
      </w:r>
      <w:r>
        <w:rPr>
          <w:rFonts w:eastAsia="Calibri"/>
          <w:b/>
          <w:color w:val="000000"/>
          <w:sz w:val="28"/>
          <w:szCs w:val="28"/>
        </w:rPr>
        <w:t>756,946</w:t>
      </w:r>
      <w:r>
        <w:rPr>
          <w:rFonts w:eastAsia="Calibri"/>
          <w:color w:val="000000"/>
          <w:sz w:val="28"/>
          <w:szCs w:val="28"/>
        </w:rPr>
        <w:t xml:space="preserve"> что составляет 98,59%.</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206 суток или 4944 часов. Отпуск тепловой энергии на ГВС потребителей осуществляется круглогодично, за исключением ремонтных периодов продолжительностью 360 часов.</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Определение объема фактически отпущенной тепловой энергии осуществляется приборами учета и расчетным путем. На основе этих данных производятся расчеты между поставщиком тепловой энергии и потребителями.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Узлы учета тепловой энергии осуществляют:</w:t>
      </w:r>
    </w:p>
    <w:p>
      <w:pPr>
        <w:pStyle w:val="154"/>
        <w:numPr>
          <w:ilvl w:val="0"/>
          <w:numId w:val="42"/>
        </w:numPr>
        <w:tabs>
          <w:tab w:val="left" w:pos="567"/>
        </w:tabs>
        <w:autoSpaceDE w:val="0"/>
        <w:autoSpaceDN w:val="0"/>
        <w:adjustRightInd w:val="0"/>
        <w:spacing w:line="360" w:lineRule="auto"/>
        <w:ind w:left="567" w:firstLine="0"/>
        <w:jc w:val="both"/>
        <w:rPr>
          <w:rFonts w:eastAsia="Calibri"/>
          <w:color w:val="000000"/>
          <w:sz w:val="28"/>
          <w:szCs w:val="28"/>
        </w:rPr>
      </w:pPr>
      <w:r>
        <w:rPr>
          <w:rFonts w:eastAsia="Calibri"/>
          <w:color w:val="000000"/>
          <w:sz w:val="28"/>
          <w:szCs w:val="28"/>
        </w:rPr>
        <w:t>учет тепловой энергии, расходуемой объектами на отопление;</w:t>
      </w:r>
    </w:p>
    <w:p>
      <w:pPr>
        <w:pStyle w:val="154"/>
        <w:numPr>
          <w:ilvl w:val="0"/>
          <w:numId w:val="42"/>
        </w:numPr>
        <w:tabs>
          <w:tab w:val="left" w:pos="567"/>
        </w:tabs>
        <w:autoSpaceDE w:val="0"/>
        <w:autoSpaceDN w:val="0"/>
        <w:adjustRightInd w:val="0"/>
        <w:spacing w:line="360" w:lineRule="auto"/>
        <w:ind w:left="567" w:firstLine="0"/>
        <w:jc w:val="both"/>
        <w:rPr>
          <w:rFonts w:eastAsia="Calibri"/>
          <w:color w:val="000000"/>
          <w:sz w:val="28"/>
          <w:szCs w:val="28"/>
        </w:rPr>
      </w:pPr>
      <w:r>
        <w:rPr>
          <w:rFonts w:eastAsia="Calibri"/>
          <w:color w:val="000000"/>
          <w:sz w:val="28"/>
          <w:szCs w:val="28"/>
        </w:rPr>
        <w:t>измерение давления в трубопроводах;</w:t>
      </w:r>
    </w:p>
    <w:p>
      <w:pPr>
        <w:pStyle w:val="154"/>
        <w:numPr>
          <w:ilvl w:val="0"/>
          <w:numId w:val="42"/>
        </w:numPr>
        <w:tabs>
          <w:tab w:val="left" w:pos="567"/>
        </w:tabs>
        <w:autoSpaceDE w:val="0"/>
        <w:autoSpaceDN w:val="0"/>
        <w:adjustRightInd w:val="0"/>
        <w:spacing w:line="360" w:lineRule="auto"/>
        <w:ind w:left="567" w:firstLine="0"/>
        <w:jc w:val="both"/>
        <w:rPr>
          <w:rFonts w:eastAsia="Calibri"/>
          <w:color w:val="000000"/>
          <w:sz w:val="28"/>
          <w:szCs w:val="28"/>
        </w:rPr>
      </w:pPr>
      <w:r>
        <w:rPr>
          <w:rFonts w:eastAsia="Calibri"/>
          <w:color w:val="000000"/>
          <w:sz w:val="28"/>
          <w:szCs w:val="28"/>
        </w:rPr>
        <w:t>измерение температуры в трубопроводах;</w:t>
      </w:r>
    </w:p>
    <w:p>
      <w:pPr>
        <w:pStyle w:val="154"/>
        <w:numPr>
          <w:ilvl w:val="0"/>
          <w:numId w:val="42"/>
        </w:numPr>
        <w:tabs>
          <w:tab w:val="left" w:pos="567"/>
        </w:tabs>
        <w:autoSpaceDE w:val="0"/>
        <w:autoSpaceDN w:val="0"/>
        <w:adjustRightInd w:val="0"/>
        <w:spacing w:line="360" w:lineRule="auto"/>
        <w:ind w:left="567" w:firstLine="0"/>
        <w:jc w:val="both"/>
        <w:rPr>
          <w:rFonts w:eastAsia="Calibri"/>
          <w:color w:val="000000"/>
          <w:sz w:val="28"/>
          <w:szCs w:val="28"/>
        </w:rPr>
      </w:pPr>
      <w:r>
        <w:rPr>
          <w:rFonts w:eastAsia="Calibri"/>
          <w:color w:val="000000"/>
          <w:sz w:val="28"/>
          <w:szCs w:val="28"/>
        </w:rPr>
        <w:t>регистрацию нештатных ситуаций;</w:t>
      </w:r>
    </w:p>
    <w:p>
      <w:pPr>
        <w:pStyle w:val="154"/>
        <w:numPr>
          <w:ilvl w:val="0"/>
          <w:numId w:val="42"/>
        </w:numPr>
        <w:tabs>
          <w:tab w:val="left" w:pos="567"/>
        </w:tabs>
        <w:autoSpaceDE w:val="0"/>
        <w:autoSpaceDN w:val="0"/>
        <w:adjustRightInd w:val="0"/>
        <w:spacing w:line="360" w:lineRule="auto"/>
        <w:ind w:left="567" w:firstLine="0"/>
        <w:jc w:val="both"/>
        <w:rPr>
          <w:rFonts w:eastAsia="Calibri"/>
          <w:color w:val="000000"/>
          <w:sz w:val="28"/>
          <w:szCs w:val="28"/>
        </w:rPr>
      </w:pPr>
      <w:r>
        <w:rPr>
          <w:rFonts w:eastAsia="Calibri"/>
          <w:color w:val="000000"/>
          <w:sz w:val="28"/>
          <w:szCs w:val="28"/>
        </w:rPr>
        <w:t>автоматическую передачу данных с заданным периодом опроса, сигналов предупреждения об аварийных и нештатных ситуациях - немедленно.</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Данные показаний приборов для коммерческого учета снимаются с предоставлением в ПТО не реже 1 раза в 5 дней. Данные почасового отпуска тепловой энергии и других параметров на выходе из котельной хранятся в архиве в бумажном и электронном виде не менее 3-х лет. Для технического учета показания снимаются согласно требованиям инструкций по эксплуатации.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 xml:space="preserve">Согласно данным, предоставленным АО «Одинцовская теплосеть» в период 2013-2017 гг. было зафиксировано </w:t>
      </w:r>
      <w:r>
        <w:rPr>
          <w:rFonts w:eastAsia="Calibri"/>
          <w:b/>
          <w:color w:val="000000"/>
          <w:sz w:val="28"/>
          <w:szCs w:val="28"/>
        </w:rPr>
        <w:t>255</w:t>
      </w:r>
      <w:r>
        <w:rPr>
          <w:rFonts w:eastAsia="Calibri"/>
          <w:color w:val="000000"/>
          <w:sz w:val="28"/>
          <w:szCs w:val="28"/>
        </w:rPr>
        <w:t xml:space="preserve"> случаев отказов оборудования источников тепловой энергии и ЦТП в зоне эксплуатационной ответственности теплоснабжающей организации. В 2018 г. зафиксировано </w:t>
      </w:r>
      <w:r>
        <w:rPr>
          <w:rFonts w:eastAsia="Calibri"/>
          <w:b/>
          <w:color w:val="000000"/>
          <w:sz w:val="28"/>
          <w:szCs w:val="28"/>
        </w:rPr>
        <w:t>92</w:t>
      </w:r>
      <w:r>
        <w:rPr>
          <w:rFonts w:eastAsia="Calibri"/>
          <w:color w:val="000000"/>
          <w:sz w:val="28"/>
          <w:szCs w:val="28"/>
        </w:rPr>
        <w:t xml:space="preserve"> случая отказов оборудования источников тепловой энергии и ЦТП в зоне эксплуатационной ответственности теплоснабжающей организации.</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По информации, предоставленной остальными организациями, занятыми в сфере теплоснабжения ТУ Одинцово, отказов основного и вспомогательного оборудования на источниках тепловой энергии, влияющих на качество теплоснабжения, не происходило. Все котельные работают в штатном режиме.</w:t>
      </w:r>
    </w:p>
    <w:p>
      <w:pPr>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Технико-экономические показатели работы источников теплоснабжения «ТУ Одинцово» представлены в таблице 2.1-2.</w:t>
      </w:r>
    </w:p>
    <w:p>
      <w:pPr>
        <w:autoSpaceDE w:val="0"/>
        <w:autoSpaceDN w:val="0"/>
        <w:adjustRightInd w:val="0"/>
        <w:spacing w:line="360" w:lineRule="auto"/>
        <w:ind w:firstLine="567"/>
        <w:jc w:val="both"/>
        <w:rPr>
          <w:rFonts w:eastAsia="Calibri"/>
          <w:color w:val="000000"/>
          <w:sz w:val="28"/>
          <w:szCs w:val="28"/>
        </w:rPr>
      </w:pPr>
    </w:p>
    <w:p>
      <w:pPr>
        <w:autoSpaceDE w:val="0"/>
        <w:autoSpaceDN w:val="0"/>
        <w:adjustRightInd w:val="0"/>
        <w:rPr>
          <w:rFonts w:eastAsia="Calibri"/>
          <w:b/>
          <w:bCs/>
          <w:color w:val="000000"/>
          <w:sz w:val="28"/>
          <w:szCs w:val="28"/>
        </w:rPr>
      </w:pPr>
      <w:r>
        <w:rPr>
          <w:rFonts w:eastAsia="Calibri"/>
          <w:b/>
          <w:bCs/>
          <w:color w:val="000000"/>
          <w:sz w:val="28"/>
          <w:szCs w:val="28"/>
        </w:rPr>
        <w:t>Таблица 2.1-2. Технико-экономические показатели работы источников теплоснабжения «ТУ Одинцово» по состоянию на 01.01.2018</w:t>
      </w:r>
    </w:p>
    <w:tbl>
      <w:tblPr>
        <w:tblStyle w:val="100"/>
        <w:tblW w:w="1012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139"/>
        <w:gridCol w:w="936"/>
        <w:gridCol w:w="765"/>
        <w:gridCol w:w="1103"/>
        <w:gridCol w:w="1082"/>
        <w:gridCol w:w="792"/>
        <w:gridCol w:w="119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2122" w:type="dxa"/>
            <w:shd w:val="clear" w:color="auto" w:fill="auto"/>
            <w:vAlign w:val="center"/>
          </w:tcPr>
          <w:p>
            <w:pPr>
              <w:jc w:val="center"/>
              <w:rPr>
                <w:b/>
                <w:bCs/>
                <w:color w:val="000000"/>
                <w:sz w:val="20"/>
                <w:szCs w:val="20"/>
              </w:rPr>
            </w:pPr>
            <w:r>
              <w:rPr>
                <w:b/>
                <w:bCs/>
                <w:color w:val="000000"/>
                <w:sz w:val="20"/>
                <w:szCs w:val="20"/>
              </w:rPr>
              <w:t>Наименование организации</w:t>
            </w:r>
          </w:p>
        </w:tc>
        <w:tc>
          <w:tcPr>
            <w:tcW w:w="1139" w:type="dxa"/>
            <w:shd w:val="clear" w:color="auto" w:fill="auto"/>
            <w:vAlign w:val="center"/>
          </w:tcPr>
          <w:p>
            <w:pPr>
              <w:jc w:val="center"/>
              <w:rPr>
                <w:b/>
                <w:bCs/>
                <w:color w:val="000000"/>
                <w:sz w:val="20"/>
                <w:szCs w:val="20"/>
              </w:rPr>
            </w:pPr>
            <w:r>
              <w:rPr>
                <w:b/>
                <w:bCs/>
                <w:color w:val="000000"/>
                <w:sz w:val="20"/>
                <w:szCs w:val="20"/>
              </w:rPr>
              <w:t>Выработка тепл. энергии</w:t>
            </w:r>
          </w:p>
        </w:tc>
        <w:tc>
          <w:tcPr>
            <w:tcW w:w="936" w:type="dxa"/>
            <w:shd w:val="clear" w:color="auto" w:fill="auto"/>
            <w:vAlign w:val="center"/>
          </w:tcPr>
          <w:p>
            <w:pPr>
              <w:jc w:val="center"/>
              <w:rPr>
                <w:b/>
                <w:bCs/>
                <w:color w:val="000000"/>
                <w:sz w:val="20"/>
                <w:szCs w:val="20"/>
              </w:rPr>
            </w:pPr>
            <w:r>
              <w:rPr>
                <w:b/>
                <w:bCs/>
                <w:color w:val="000000"/>
                <w:sz w:val="20"/>
                <w:szCs w:val="20"/>
              </w:rPr>
              <w:t>Расход на с.н.</w:t>
            </w:r>
          </w:p>
        </w:tc>
        <w:tc>
          <w:tcPr>
            <w:tcW w:w="765" w:type="dxa"/>
            <w:shd w:val="clear" w:color="auto" w:fill="auto"/>
            <w:vAlign w:val="center"/>
          </w:tcPr>
          <w:p>
            <w:pPr>
              <w:jc w:val="center"/>
              <w:rPr>
                <w:b/>
                <w:bCs/>
                <w:color w:val="000000"/>
                <w:sz w:val="20"/>
                <w:szCs w:val="20"/>
              </w:rPr>
            </w:pPr>
            <w:r>
              <w:rPr>
                <w:b/>
                <w:bCs/>
                <w:color w:val="000000"/>
                <w:sz w:val="20"/>
                <w:szCs w:val="20"/>
              </w:rPr>
              <w:t>Расход на с.н., %</w:t>
            </w:r>
          </w:p>
        </w:tc>
        <w:tc>
          <w:tcPr>
            <w:tcW w:w="1103" w:type="dxa"/>
            <w:shd w:val="clear" w:color="auto" w:fill="auto"/>
            <w:vAlign w:val="center"/>
          </w:tcPr>
          <w:p>
            <w:pPr>
              <w:jc w:val="center"/>
              <w:rPr>
                <w:b/>
                <w:bCs/>
                <w:color w:val="000000"/>
                <w:sz w:val="20"/>
                <w:szCs w:val="20"/>
              </w:rPr>
            </w:pPr>
            <w:r>
              <w:rPr>
                <w:b/>
                <w:bCs/>
                <w:color w:val="000000"/>
                <w:sz w:val="20"/>
                <w:szCs w:val="20"/>
              </w:rPr>
              <w:t>Отпуск тепл. энергии</w:t>
            </w:r>
          </w:p>
        </w:tc>
        <w:tc>
          <w:tcPr>
            <w:tcW w:w="1082" w:type="dxa"/>
            <w:shd w:val="clear" w:color="auto" w:fill="auto"/>
            <w:vAlign w:val="center"/>
          </w:tcPr>
          <w:p>
            <w:pPr>
              <w:jc w:val="center"/>
              <w:rPr>
                <w:b/>
                <w:bCs/>
                <w:color w:val="000000"/>
                <w:sz w:val="20"/>
                <w:szCs w:val="20"/>
              </w:rPr>
            </w:pPr>
            <w:r>
              <w:rPr>
                <w:b/>
                <w:bCs/>
                <w:color w:val="000000"/>
                <w:sz w:val="20"/>
                <w:szCs w:val="20"/>
              </w:rPr>
              <w:t>Потери тепл. энергии</w:t>
            </w:r>
          </w:p>
        </w:tc>
        <w:tc>
          <w:tcPr>
            <w:tcW w:w="792" w:type="dxa"/>
            <w:shd w:val="clear" w:color="auto" w:fill="auto"/>
            <w:vAlign w:val="center"/>
          </w:tcPr>
          <w:p>
            <w:pPr>
              <w:jc w:val="center"/>
              <w:rPr>
                <w:b/>
                <w:bCs/>
                <w:color w:val="000000"/>
                <w:sz w:val="20"/>
                <w:szCs w:val="20"/>
              </w:rPr>
            </w:pPr>
            <w:r>
              <w:rPr>
                <w:b/>
                <w:bCs/>
                <w:color w:val="000000"/>
                <w:sz w:val="20"/>
                <w:szCs w:val="20"/>
              </w:rPr>
              <w:t>Потери тепл. энергии, %</w:t>
            </w:r>
          </w:p>
        </w:tc>
        <w:tc>
          <w:tcPr>
            <w:tcW w:w="1198" w:type="dxa"/>
            <w:shd w:val="clear" w:color="auto" w:fill="auto"/>
            <w:vAlign w:val="center"/>
          </w:tcPr>
          <w:p>
            <w:pPr>
              <w:jc w:val="center"/>
              <w:rPr>
                <w:b/>
                <w:bCs/>
                <w:color w:val="000000"/>
                <w:sz w:val="20"/>
                <w:szCs w:val="20"/>
              </w:rPr>
            </w:pPr>
            <w:r>
              <w:rPr>
                <w:b/>
                <w:bCs/>
                <w:color w:val="000000"/>
                <w:sz w:val="20"/>
                <w:szCs w:val="20"/>
              </w:rPr>
              <w:t>Реализация тепл. энергии</w:t>
            </w:r>
          </w:p>
        </w:tc>
        <w:tc>
          <w:tcPr>
            <w:tcW w:w="992" w:type="dxa"/>
            <w:shd w:val="clear" w:color="auto" w:fill="auto"/>
            <w:vAlign w:val="center"/>
          </w:tcPr>
          <w:p>
            <w:pPr>
              <w:jc w:val="center"/>
              <w:rPr>
                <w:b/>
                <w:bCs/>
                <w:color w:val="000000"/>
                <w:sz w:val="20"/>
                <w:szCs w:val="20"/>
              </w:rPr>
            </w:pPr>
            <w:r>
              <w:rPr>
                <w:b/>
                <w:bCs/>
                <w:color w:val="000000"/>
                <w:sz w:val="20"/>
                <w:szCs w:val="20"/>
              </w:rPr>
              <w:t>Расход топлива, тыс. м3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ОА "Одинцовская теплосеть"</w:t>
            </w:r>
          </w:p>
        </w:tc>
        <w:tc>
          <w:tcPr>
            <w:tcW w:w="1139" w:type="dxa"/>
            <w:shd w:val="clear" w:color="auto" w:fill="auto"/>
            <w:vAlign w:val="bottom"/>
          </w:tcPr>
          <w:p>
            <w:pPr>
              <w:jc w:val="right"/>
              <w:rPr>
                <w:color w:val="000000"/>
                <w:sz w:val="20"/>
                <w:szCs w:val="20"/>
              </w:rPr>
            </w:pPr>
            <w:r>
              <w:rPr>
                <w:color w:val="000000"/>
                <w:sz w:val="20"/>
                <w:szCs w:val="20"/>
              </w:rPr>
              <w:t>1012926,1</w:t>
            </w:r>
          </w:p>
        </w:tc>
        <w:tc>
          <w:tcPr>
            <w:tcW w:w="936" w:type="dxa"/>
            <w:shd w:val="clear" w:color="auto" w:fill="auto"/>
            <w:vAlign w:val="bottom"/>
          </w:tcPr>
          <w:p>
            <w:pPr>
              <w:jc w:val="right"/>
              <w:rPr>
                <w:color w:val="000000"/>
                <w:sz w:val="20"/>
                <w:szCs w:val="20"/>
              </w:rPr>
            </w:pPr>
            <w:r>
              <w:rPr>
                <w:color w:val="000000"/>
                <w:sz w:val="20"/>
                <w:szCs w:val="20"/>
              </w:rPr>
              <w:t>8033,1</w:t>
            </w:r>
          </w:p>
        </w:tc>
        <w:tc>
          <w:tcPr>
            <w:tcW w:w="765" w:type="dxa"/>
            <w:shd w:val="clear" w:color="auto" w:fill="auto"/>
            <w:vAlign w:val="bottom"/>
          </w:tcPr>
          <w:p>
            <w:pPr>
              <w:jc w:val="right"/>
              <w:rPr>
                <w:color w:val="000000"/>
                <w:sz w:val="20"/>
                <w:szCs w:val="20"/>
              </w:rPr>
            </w:pPr>
            <w:r>
              <w:rPr>
                <w:color w:val="000000"/>
                <w:sz w:val="20"/>
                <w:szCs w:val="20"/>
              </w:rPr>
              <w:t>0,8%</w:t>
            </w:r>
          </w:p>
        </w:tc>
        <w:tc>
          <w:tcPr>
            <w:tcW w:w="1103" w:type="dxa"/>
            <w:shd w:val="clear" w:color="auto" w:fill="auto"/>
            <w:vAlign w:val="bottom"/>
          </w:tcPr>
          <w:p>
            <w:pPr>
              <w:jc w:val="right"/>
              <w:rPr>
                <w:color w:val="000000"/>
                <w:sz w:val="20"/>
                <w:szCs w:val="20"/>
              </w:rPr>
            </w:pPr>
            <w:r>
              <w:rPr>
                <w:color w:val="000000"/>
                <w:sz w:val="20"/>
                <w:szCs w:val="20"/>
              </w:rPr>
              <w:t>1004893,1</w:t>
            </w:r>
          </w:p>
        </w:tc>
        <w:tc>
          <w:tcPr>
            <w:tcW w:w="1082" w:type="dxa"/>
            <w:shd w:val="clear" w:color="auto" w:fill="auto"/>
            <w:vAlign w:val="bottom"/>
          </w:tcPr>
          <w:p>
            <w:pPr>
              <w:jc w:val="right"/>
              <w:rPr>
                <w:color w:val="000000"/>
                <w:sz w:val="20"/>
                <w:szCs w:val="20"/>
              </w:rPr>
            </w:pPr>
            <w:r>
              <w:rPr>
                <w:color w:val="000000"/>
                <w:sz w:val="20"/>
                <w:szCs w:val="20"/>
              </w:rPr>
              <w:t>76553,2</w:t>
            </w:r>
          </w:p>
        </w:tc>
        <w:tc>
          <w:tcPr>
            <w:tcW w:w="792" w:type="dxa"/>
            <w:shd w:val="clear" w:color="auto" w:fill="auto"/>
            <w:vAlign w:val="bottom"/>
          </w:tcPr>
          <w:p>
            <w:pPr>
              <w:jc w:val="right"/>
              <w:rPr>
                <w:color w:val="000000"/>
                <w:sz w:val="20"/>
                <w:szCs w:val="20"/>
              </w:rPr>
            </w:pPr>
            <w:r>
              <w:rPr>
                <w:color w:val="000000"/>
                <w:sz w:val="20"/>
                <w:szCs w:val="20"/>
              </w:rPr>
              <w:t>7,6%</w:t>
            </w:r>
          </w:p>
        </w:tc>
        <w:tc>
          <w:tcPr>
            <w:tcW w:w="1198" w:type="dxa"/>
            <w:shd w:val="clear" w:color="auto" w:fill="auto"/>
            <w:vAlign w:val="bottom"/>
          </w:tcPr>
          <w:p>
            <w:pPr>
              <w:jc w:val="right"/>
              <w:rPr>
                <w:color w:val="000000"/>
                <w:sz w:val="20"/>
                <w:szCs w:val="20"/>
              </w:rPr>
            </w:pPr>
            <w:r>
              <w:rPr>
                <w:color w:val="000000"/>
                <w:sz w:val="20"/>
                <w:szCs w:val="20"/>
              </w:rPr>
              <w:t>928339,9</w:t>
            </w:r>
          </w:p>
        </w:tc>
        <w:tc>
          <w:tcPr>
            <w:tcW w:w="992" w:type="dxa"/>
            <w:shd w:val="clear" w:color="auto" w:fill="auto"/>
            <w:vAlign w:val="bottom"/>
          </w:tcPr>
          <w:p>
            <w:pPr>
              <w:jc w:val="right"/>
              <w:rPr>
                <w:color w:val="000000"/>
                <w:sz w:val="20"/>
                <w:szCs w:val="20"/>
              </w:rPr>
            </w:pPr>
            <w:r>
              <w:rPr>
                <w:color w:val="000000"/>
                <w:sz w:val="20"/>
                <w:szCs w:val="20"/>
              </w:rPr>
              <w:t>137120,3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ООО "МНЗ"</w:t>
            </w:r>
          </w:p>
        </w:tc>
        <w:tc>
          <w:tcPr>
            <w:tcW w:w="1139" w:type="dxa"/>
            <w:shd w:val="clear" w:color="auto" w:fill="auto"/>
            <w:vAlign w:val="bottom"/>
          </w:tcPr>
          <w:p>
            <w:pPr>
              <w:jc w:val="right"/>
              <w:rPr>
                <w:color w:val="000000"/>
                <w:sz w:val="20"/>
                <w:szCs w:val="20"/>
              </w:rPr>
            </w:pPr>
            <w:r>
              <w:rPr>
                <w:color w:val="000000"/>
                <w:sz w:val="20"/>
                <w:szCs w:val="20"/>
              </w:rPr>
              <w:t>40295,9</w:t>
            </w:r>
          </w:p>
        </w:tc>
        <w:tc>
          <w:tcPr>
            <w:tcW w:w="936" w:type="dxa"/>
            <w:shd w:val="clear" w:color="auto" w:fill="auto"/>
            <w:vAlign w:val="bottom"/>
          </w:tcPr>
          <w:p>
            <w:pPr>
              <w:jc w:val="right"/>
              <w:rPr>
                <w:color w:val="000000"/>
                <w:sz w:val="20"/>
                <w:szCs w:val="20"/>
              </w:rPr>
            </w:pPr>
            <w:r>
              <w:rPr>
                <w:color w:val="000000"/>
                <w:sz w:val="20"/>
                <w:szCs w:val="20"/>
              </w:rPr>
              <w:t>596,4</w:t>
            </w:r>
          </w:p>
        </w:tc>
        <w:tc>
          <w:tcPr>
            <w:tcW w:w="765" w:type="dxa"/>
            <w:shd w:val="clear" w:color="auto" w:fill="auto"/>
            <w:vAlign w:val="bottom"/>
          </w:tcPr>
          <w:p>
            <w:pPr>
              <w:jc w:val="right"/>
              <w:rPr>
                <w:color w:val="000000"/>
                <w:sz w:val="20"/>
                <w:szCs w:val="20"/>
              </w:rPr>
            </w:pPr>
            <w:r>
              <w:rPr>
                <w:color w:val="000000"/>
                <w:sz w:val="20"/>
                <w:szCs w:val="20"/>
              </w:rPr>
              <w:t>1,5%</w:t>
            </w:r>
          </w:p>
        </w:tc>
        <w:tc>
          <w:tcPr>
            <w:tcW w:w="1103" w:type="dxa"/>
            <w:shd w:val="clear" w:color="auto" w:fill="auto"/>
            <w:vAlign w:val="bottom"/>
          </w:tcPr>
          <w:p>
            <w:pPr>
              <w:jc w:val="right"/>
              <w:rPr>
                <w:color w:val="000000"/>
                <w:sz w:val="20"/>
                <w:szCs w:val="20"/>
              </w:rPr>
            </w:pPr>
            <w:r>
              <w:rPr>
                <w:color w:val="000000"/>
                <w:sz w:val="20"/>
                <w:szCs w:val="20"/>
              </w:rPr>
              <w:t>39699,5</w:t>
            </w:r>
          </w:p>
        </w:tc>
        <w:tc>
          <w:tcPr>
            <w:tcW w:w="1082" w:type="dxa"/>
            <w:shd w:val="clear" w:color="auto" w:fill="auto"/>
            <w:vAlign w:val="bottom"/>
          </w:tcPr>
          <w:p>
            <w:pPr>
              <w:jc w:val="right"/>
              <w:rPr>
                <w:color w:val="000000"/>
                <w:sz w:val="20"/>
                <w:szCs w:val="20"/>
              </w:rPr>
            </w:pPr>
            <w:r>
              <w:rPr>
                <w:color w:val="000000"/>
                <w:sz w:val="20"/>
                <w:szCs w:val="20"/>
              </w:rPr>
              <w:t>1667,1</w:t>
            </w:r>
          </w:p>
        </w:tc>
        <w:tc>
          <w:tcPr>
            <w:tcW w:w="792" w:type="dxa"/>
            <w:shd w:val="clear" w:color="auto" w:fill="auto"/>
            <w:vAlign w:val="bottom"/>
          </w:tcPr>
          <w:p>
            <w:pPr>
              <w:jc w:val="right"/>
              <w:rPr>
                <w:color w:val="000000"/>
                <w:sz w:val="20"/>
                <w:szCs w:val="20"/>
              </w:rPr>
            </w:pPr>
            <w:r>
              <w:rPr>
                <w:color w:val="000000"/>
                <w:sz w:val="20"/>
                <w:szCs w:val="20"/>
              </w:rPr>
              <w:t>4,2%</w:t>
            </w:r>
          </w:p>
        </w:tc>
        <w:tc>
          <w:tcPr>
            <w:tcW w:w="1198" w:type="dxa"/>
            <w:shd w:val="clear" w:color="auto" w:fill="auto"/>
            <w:vAlign w:val="bottom"/>
          </w:tcPr>
          <w:p>
            <w:pPr>
              <w:jc w:val="right"/>
              <w:rPr>
                <w:color w:val="000000"/>
                <w:sz w:val="20"/>
                <w:szCs w:val="20"/>
              </w:rPr>
            </w:pPr>
            <w:r>
              <w:rPr>
                <w:color w:val="000000"/>
                <w:sz w:val="20"/>
                <w:szCs w:val="20"/>
              </w:rPr>
              <w:t>38032,4</w:t>
            </w:r>
          </w:p>
        </w:tc>
        <w:tc>
          <w:tcPr>
            <w:tcW w:w="992" w:type="dxa"/>
            <w:shd w:val="clear" w:color="auto" w:fill="auto"/>
            <w:vAlign w:val="bottom"/>
          </w:tcPr>
          <w:p>
            <w:pPr>
              <w:jc w:val="right"/>
              <w:rPr>
                <w:color w:val="000000"/>
                <w:sz w:val="20"/>
                <w:szCs w:val="20"/>
              </w:rPr>
            </w:pPr>
            <w:r>
              <w:rPr>
                <w:color w:val="000000"/>
                <w:sz w:val="20"/>
                <w:szCs w:val="20"/>
              </w:rPr>
              <w:t>5393,0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ОАО "ВЗОИ"</w:t>
            </w:r>
          </w:p>
        </w:tc>
        <w:tc>
          <w:tcPr>
            <w:tcW w:w="1139" w:type="dxa"/>
            <w:shd w:val="clear" w:color="auto" w:fill="auto"/>
            <w:vAlign w:val="bottom"/>
          </w:tcPr>
          <w:p>
            <w:pPr>
              <w:jc w:val="right"/>
              <w:rPr>
                <w:color w:val="000000"/>
                <w:sz w:val="20"/>
                <w:szCs w:val="20"/>
              </w:rPr>
            </w:pPr>
            <w:r>
              <w:rPr>
                <w:color w:val="000000"/>
                <w:sz w:val="20"/>
                <w:szCs w:val="20"/>
              </w:rPr>
              <w:t>3368,6</w:t>
            </w:r>
          </w:p>
        </w:tc>
        <w:tc>
          <w:tcPr>
            <w:tcW w:w="936" w:type="dxa"/>
            <w:shd w:val="clear" w:color="auto" w:fill="auto"/>
            <w:vAlign w:val="bottom"/>
          </w:tcPr>
          <w:p>
            <w:pPr>
              <w:jc w:val="right"/>
              <w:rPr>
                <w:color w:val="000000"/>
                <w:sz w:val="20"/>
                <w:szCs w:val="20"/>
              </w:rPr>
            </w:pPr>
            <w:r>
              <w:rPr>
                <w:color w:val="000000"/>
                <w:sz w:val="20"/>
                <w:szCs w:val="20"/>
              </w:rPr>
              <w:t>103,1</w:t>
            </w:r>
          </w:p>
        </w:tc>
        <w:tc>
          <w:tcPr>
            <w:tcW w:w="765" w:type="dxa"/>
            <w:shd w:val="clear" w:color="auto" w:fill="auto"/>
            <w:vAlign w:val="bottom"/>
          </w:tcPr>
          <w:p>
            <w:pPr>
              <w:jc w:val="right"/>
              <w:rPr>
                <w:color w:val="000000"/>
                <w:sz w:val="20"/>
                <w:szCs w:val="20"/>
              </w:rPr>
            </w:pPr>
            <w:r>
              <w:rPr>
                <w:color w:val="000000"/>
                <w:sz w:val="20"/>
                <w:szCs w:val="20"/>
              </w:rPr>
              <w:t>3,1%</w:t>
            </w:r>
          </w:p>
        </w:tc>
        <w:tc>
          <w:tcPr>
            <w:tcW w:w="1103" w:type="dxa"/>
            <w:shd w:val="clear" w:color="auto" w:fill="auto"/>
            <w:vAlign w:val="bottom"/>
          </w:tcPr>
          <w:p>
            <w:pPr>
              <w:jc w:val="right"/>
              <w:rPr>
                <w:color w:val="000000"/>
                <w:sz w:val="20"/>
                <w:szCs w:val="20"/>
              </w:rPr>
            </w:pPr>
            <w:r>
              <w:rPr>
                <w:color w:val="000000"/>
                <w:sz w:val="20"/>
                <w:szCs w:val="20"/>
              </w:rPr>
              <w:t>3265,5</w:t>
            </w:r>
          </w:p>
        </w:tc>
        <w:tc>
          <w:tcPr>
            <w:tcW w:w="1082" w:type="dxa"/>
            <w:shd w:val="clear" w:color="auto" w:fill="auto"/>
            <w:vAlign w:val="bottom"/>
          </w:tcPr>
          <w:p>
            <w:pPr>
              <w:jc w:val="right"/>
              <w:rPr>
                <w:color w:val="000000"/>
                <w:sz w:val="20"/>
                <w:szCs w:val="20"/>
              </w:rPr>
            </w:pPr>
            <w:r>
              <w:rPr>
                <w:color w:val="000000"/>
                <w:sz w:val="20"/>
                <w:szCs w:val="20"/>
              </w:rPr>
              <w:t>378,0</w:t>
            </w:r>
          </w:p>
        </w:tc>
        <w:tc>
          <w:tcPr>
            <w:tcW w:w="792" w:type="dxa"/>
            <w:shd w:val="clear" w:color="auto" w:fill="auto"/>
            <w:vAlign w:val="bottom"/>
          </w:tcPr>
          <w:p>
            <w:pPr>
              <w:jc w:val="right"/>
              <w:rPr>
                <w:color w:val="000000"/>
                <w:sz w:val="20"/>
                <w:szCs w:val="20"/>
              </w:rPr>
            </w:pPr>
            <w:r>
              <w:rPr>
                <w:color w:val="000000"/>
                <w:sz w:val="20"/>
                <w:szCs w:val="20"/>
              </w:rPr>
              <w:t>11,6%</w:t>
            </w:r>
          </w:p>
        </w:tc>
        <w:tc>
          <w:tcPr>
            <w:tcW w:w="1198" w:type="dxa"/>
            <w:shd w:val="clear" w:color="auto" w:fill="auto"/>
            <w:vAlign w:val="bottom"/>
          </w:tcPr>
          <w:p>
            <w:pPr>
              <w:jc w:val="right"/>
              <w:rPr>
                <w:color w:val="000000"/>
                <w:sz w:val="20"/>
                <w:szCs w:val="20"/>
              </w:rPr>
            </w:pPr>
            <w:r>
              <w:rPr>
                <w:color w:val="000000"/>
                <w:sz w:val="20"/>
                <w:szCs w:val="20"/>
              </w:rPr>
              <w:t>2887,5</w:t>
            </w:r>
          </w:p>
        </w:tc>
        <w:tc>
          <w:tcPr>
            <w:tcW w:w="992" w:type="dxa"/>
            <w:shd w:val="clear" w:color="auto" w:fill="auto"/>
            <w:vAlign w:val="bottom"/>
          </w:tcPr>
          <w:p>
            <w:pPr>
              <w:jc w:val="right"/>
              <w:rPr>
                <w:color w:val="000000"/>
                <w:sz w:val="20"/>
                <w:szCs w:val="20"/>
              </w:rPr>
            </w:pPr>
            <w:r>
              <w:rPr>
                <w:color w:val="000000"/>
                <w:sz w:val="20"/>
                <w:szCs w:val="20"/>
              </w:rPr>
              <w:t>442,1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ЗАО "ГТС"</w:t>
            </w:r>
          </w:p>
        </w:tc>
        <w:tc>
          <w:tcPr>
            <w:tcW w:w="1139" w:type="dxa"/>
            <w:shd w:val="clear" w:color="auto" w:fill="auto"/>
            <w:vAlign w:val="bottom"/>
          </w:tcPr>
          <w:p>
            <w:pPr>
              <w:jc w:val="right"/>
              <w:rPr>
                <w:color w:val="000000"/>
                <w:sz w:val="20"/>
                <w:szCs w:val="20"/>
              </w:rPr>
            </w:pPr>
            <w:r>
              <w:rPr>
                <w:color w:val="000000"/>
                <w:sz w:val="20"/>
                <w:szCs w:val="20"/>
              </w:rPr>
              <w:t>135606,9</w:t>
            </w:r>
          </w:p>
        </w:tc>
        <w:tc>
          <w:tcPr>
            <w:tcW w:w="936" w:type="dxa"/>
            <w:shd w:val="clear" w:color="auto" w:fill="auto"/>
            <w:vAlign w:val="bottom"/>
          </w:tcPr>
          <w:p>
            <w:pPr>
              <w:jc w:val="right"/>
              <w:rPr>
                <w:color w:val="000000"/>
                <w:sz w:val="20"/>
                <w:szCs w:val="20"/>
              </w:rPr>
            </w:pPr>
            <w:r>
              <w:rPr>
                <w:color w:val="000000"/>
                <w:sz w:val="20"/>
                <w:szCs w:val="20"/>
              </w:rPr>
              <w:t>2573,3</w:t>
            </w:r>
          </w:p>
        </w:tc>
        <w:tc>
          <w:tcPr>
            <w:tcW w:w="765" w:type="dxa"/>
            <w:shd w:val="clear" w:color="auto" w:fill="auto"/>
            <w:vAlign w:val="bottom"/>
          </w:tcPr>
          <w:p>
            <w:pPr>
              <w:jc w:val="right"/>
              <w:rPr>
                <w:color w:val="000000"/>
                <w:sz w:val="20"/>
                <w:szCs w:val="20"/>
              </w:rPr>
            </w:pPr>
            <w:r>
              <w:rPr>
                <w:color w:val="000000"/>
                <w:sz w:val="20"/>
                <w:szCs w:val="20"/>
              </w:rPr>
              <w:t>1,9%</w:t>
            </w:r>
          </w:p>
        </w:tc>
        <w:tc>
          <w:tcPr>
            <w:tcW w:w="1103" w:type="dxa"/>
            <w:shd w:val="clear" w:color="auto" w:fill="auto"/>
            <w:vAlign w:val="bottom"/>
          </w:tcPr>
          <w:p>
            <w:pPr>
              <w:jc w:val="right"/>
              <w:rPr>
                <w:color w:val="000000"/>
                <w:sz w:val="20"/>
                <w:szCs w:val="20"/>
              </w:rPr>
            </w:pPr>
            <w:r>
              <w:rPr>
                <w:color w:val="000000"/>
                <w:sz w:val="20"/>
                <w:szCs w:val="20"/>
              </w:rPr>
              <w:t>133033,6</w:t>
            </w:r>
          </w:p>
        </w:tc>
        <w:tc>
          <w:tcPr>
            <w:tcW w:w="1082" w:type="dxa"/>
            <w:shd w:val="clear" w:color="auto" w:fill="auto"/>
            <w:vAlign w:val="bottom"/>
          </w:tcPr>
          <w:p>
            <w:pPr>
              <w:jc w:val="right"/>
              <w:rPr>
                <w:color w:val="000000"/>
                <w:sz w:val="20"/>
                <w:szCs w:val="20"/>
              </w:rPr>
            </w:pPr>
            <w:r>
              <w:rPr>
                <w:color w:val="000000"/>
                <w:sz w:val="20"/>
                <w:szCs w:val="20"/>
              </w:rPr>
              <w:t>5146,6</w:t>
            </w:r>
          </w:p>
        </w:tc>
        <w:tc>
          <w:tcPr>
            <w:tcW w:w="792" w:type="dxa"/>
            <w:shd w:val="clear" w:color="auto" w:fill="auto"/>
            <w:vAlign w:val="bottom"/>
          </w:tcPr>
          <w:p>
            <w:pPr>
              <w:jc w:val="right"/>
              <w:rPr>
                <w:color w:val="000000"/>
                <w:sz w:val="20"/>
                <w:szCs w:val="20"/>
              </w:rPr>
            </w:pPr>
            <w:r>
              <w:rPr>
                <w:color w:val="000000"/>
                <w:sz w:val="20"/>
                <w:szCs w:val="20"/>
              </w:rPr>
              <w:t>3,9%</w:t>
            </w:r>
          </w:p>
        </w:tc>
        <w:tc>
          <w:tcPr>
            <w:tcW w:w="1198" w:type="dxa"/>
            <w:shd w:val="clear" w:color="auto" w:fill="auto"/>
            <w:vAlign w:val="bottom"/>
          </w:tcPr>
          <w:p>
            <w:pPr>
              <w:jc w:val="right"/>
              <w:rPr>
                <w:color w:val="000000"/>
                <w:sz w:val="20"/>
                <w:szCs w:val="20"/>
              </w:rPr>
            </w:pPr>
            <w:r>
              <w:rPr>
                <w:color w:val="000000"/>
                <w:sz w:val="20"/>
                <w:szCs w:val="20"/>
              </w:rPr>
              <w:t>127887,0</w:t>
            </w:r>
          </w:p>
        </w:tc>
        <w:tc>
          <w:tcPr>
            <w:tcW w:w="992" w:type="dxa"/>
            <w:shd w:val="clear" w:color="auto" w:fill="auto"/>
            <w:vAlign w:val="bottom"/>
          </w:tcPr>
          <w:p>
            <w:pPr>
              <w:jc w:val="right"/>
              <w:rPr>
                <w:color w:val="000000"/>
                <w:sz w:val="20"/>
                <w:szCs w:val="20"/>
              </w:rPr>
            </w:pPr>
            <w:r>
              <w:rPr>
                <w:color w:val="000000"/>
                <w:sz w:val="20"/>
                <w:szCs w:val="20"/>
              </w:rPr>
              <w:t>18523,4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ООО "БЗРИ"</w:t>
            </w:r>
          </w:p>
        </w:tc>
        <w:tc>
          <w:tcPr>
            <w:tcW w:w="1139" w:type="dxa"/>
            <w:shd w:val="clear" w:color="auto" w:fill="auto"/>
            <w:vAlign w:val="bottom"/>
          </w:tcPr>
          <w:p>
            <w:pPr>
              <w:jc w:val="right"/>
              <w:rPr>
                <w:color w:val="000000"/>
                <w:sz w:val="20"/>
                <w:szCs w:val="20"/>
              </w:rPr>
            </w:pPr>
            <w:r>
              <w:rPr>
                <w:color w:val="000000"/>
                <w:sz w:val="20"/>
                <w:szCs w:val="20"/>
              </w:rPr>
              <w:t>15090,0</w:t>
            </w:r>
          </w:p>
        </w:tc>
        <w:tc>
          <w:tcPr>
            <w:tcW w:w="936" w:type="dxa"/>
            <w:shd w:val="clear" w:color="auto" w:fill="auto"/>
            <w:vAlign w:val="bottom"/>
          </w:tcPr>
          <w:p>
            <w:pPr>
              <w:jc w:val="right"/>
              <w:rPr>
                <w:color w:val="000000"/>
                <w:sz w:val="20"/>
                <w:szCs w:val="20"/>
              </w:rPr>
            </w:pPr>
            <w:r>
              <w:rPr>
                <w:color w:val="000000"/>
                <w:sz w:val="20"/>
                <w:szCs w:val="20"/>
              </w:rPr>
              <w:t>333,0</w:t>
            </w:r>
          </w:p>
        </w:tc>
        <w:tc>
          <w:tcPr>
            <w:tcW w:w="765" w:type="dxa"/>
            <w:shd w:val="clear" w:color="auto" w:fill="auto"/>
            <w:vAlign w:val="bottom"/>
          </w:tcPr>
          <w:p>
            <w:pPr>
              <w:jc w:val="right"/>
              <w:rPr>
                <w:color w:val="000000"/>
                <w:sz w:val="20"/>
                <w:szCs w:val="20"/>
              </w:rPr>
            </w:pPr>
            <w:r>
              <w:rPr>
                <w:color w:val="000000"/>
                <w:sz w:val="20"/>
                <w:szCs w:val="20"/>
              </w:rPr>
              <w:t>2,2%</w:t>
            </w:r>
          </w:p>
        </w:tc>
        <w:tc>
          <w:tcPr>
            <w:tcW w:w="1103" w:type="dxa"/>
            <w:shd w:val="clear" w:color="auto" w:fill="auto"/>
            <w:vAlign w:val="bottom"/>
          </w:tcPr>
          <w:p>
            <w:pPr>
              <w:jc w:val="right"/>
              <w:rPr>
                <w:color w:val="000000"/>
                <w:sz w:val="20"/>
                <w:szCs w:val="20"/>
              </w:rPr>
            </w:pPr>
            <w:r>
              <w:rPr>
                <w:color w:val="000000"/>
                <w:sz w:val="20"/>
                <w:szCs w:val="20"/>
              </w:rPr>
              <w:t>14757,0</w:t>
            </w:r>
          </w:p>
        </w:tc>
        <w:tc>
          <w:tcPr>
            <w:tcW w:w="1082" w:type="dxa"/>
            <w:shd w:val="clear" w:color="auto" w:fill="auto"/>
            <w:vAlign w:val="bottom"/>
          </w:tcPr>
          <w:p>
            <w:pPr>
              <w:jc w:val="right"/>
              <w:rPr>
                <w:color w:val="000000"/>
                <w:sz w:val="20"/>
                <w:szCs w:val="20"/>
              </w:rPr>
            </w:pPr>
            <w:r>
              <w:rPr>
                <w:color w:val="000000"/>
                <w:sz w:val="20"/>
                <w:szCs w:val="20"/>
              </w:rPr>
              <w:t>1457,1</w:t>
            </w:r>
          </w:p>
        </w:tc>
        <w:tc>
          <w:tcPr>
            <w:tcW w:w="792" w:type="dxa"/>
            <w:shd w:val="clear" w:color="auto" w:fill="auto"/>
            <w:vAlign w:val="bottom"/>
          </w:tcPr>
          <w:p>
            <w:pPr>
              <w:jc w:val="right"/>
              <w:rPr>
                <w:color w:val="000000"/>
                <w:sz w:val="20"/>
                <w:szCs w:val="20"/>
              </w:rPr>
            </w:pPr>
            <w:r>
              <w:rPr>
                <w:color w:val="000000"/>
                <w:sz w:val="20"/>
                <w:szCs w:val="20"/>
              </w:rPr>
              <w:t>9,9%</w:t>
            </w:r>
          </w:p>
        </w:tc>
        <w:tc>
          <w:tcPr>
            <w:tcW w:w="1198" w:type="dxa"/>
            <w:shd w:val="clear" w:color="auto" w:fill="auto"/>
            <w:vAlign w:val="bottom"/>
          </w:tcPr>
          <w:p>
            <w:pPr>
              <w:jc w:val="right"/>
              <w:rPr>
                <w:color w:val="000000"/>
                <w:sz w:val="20"/>
                <w:szCs w:val="20"/>
              </w:rPr>
            </w:pPr>
            <w:r>
              <w:rPr>
                <w:color w:val="000000"/>
                <w:sz w:val="20"/>
                <w:szCs w:val="20"/>
              </w:rPr>
              <w:t>13299,9</w:t>
            </w:r>
          </w:p>
        </w:tc>
        <w:tc>
          <w:tcPr>
            <w:tcW w:w="992" w:type="dxa"/>
            <w:shd w:val="clear" w:color="auto" w:fill="auto"/>
            <w:vAlign w:val="bottom"/>
          </w:tcPr>
          <w:p>
            <w:pPr>
              <w:jc w:val="right"/>
              <w:rPr>
                <w:color w:val="000000"/>
                <w:sz w:val="20"/>
                <w:szCs w:val="20"/>
              </w:rPr>
            </w:pPr>
            <w:r>
              <w:rPr>
                <w:color w:val="000000"/>
                <w:sz w:val="20"/>
                <w:szCs w:val="20"/>
              </w:rPr>
              <w:t>1871,1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АО "Ресурс"</w:t>
            </w:r>
          </w:p>
        </w:tc>
        <w:tc>
          <w:tcPr>
            <w:tcW w:w="1139" w:type="dxa"/>
            <w:shd w:val="clear" w:color="auto" w:fill="auto"/>
            <w:vAlign w:val="bottom"/>
          </w:tcPr>
          <w:p>
            <w:pPr>
              <w:jc w:val="right"/>
              <w:rPr>
                <w:color w:val="000000"/>
                <w:sz w:val="20"/>
                <w:szCs w:val="20"/>
              </w:rPr>
            </w:pPr>
            <w:r>
              <w:rPr>
                <w:color w:val="000000"/>
                <w:sz w:val="20"/>
                <w:szCs w:val="20"/>
              </w:rPr>
              <w:t>93507,4</w:t>
            </w:r>
          </w:p>
        </w:tc>
        <w:tc>
          <w:tcPr>
            <w:tcW w:w="936" w:type="dxa"/>
            <w:shd w:val="clear" w:color="auto" w:fill="auto"/>
            <w:vAlign w:val="bottom"/>
          </w:tcPr>
          <w:p>
            <w:pPr>
              <w:jc w:val="right"/>
              <w:rPr>
                <w:color w:val="000000"/>
                <w:sz w:val="20"/>
                <w:szCs w:val="20"/>
              </w:rPr>
            </w:pPr>
            <w:r>
              <w:rPr>
                <w:color w:val="000000"/>
                <w:sz w:val="20"/>
                <w:szCs w:val="20"/>
              </w:rPr>
              <w:t>50556,1</w:t>
            </w:r>
          </w:p>
        </w:tc>
        <w:tc>
          <w:tcPr>
            <w:tcW w:w="765" w:type="dxa"/>
            <w:shd w:val="clear" w:color="auto" w:fill="auto"/>
            <w:vAlign w:val="bottom"/>
          </w:tcPr>
          <w:p>
            <w:pPr>
              <w:jc w:val="right"/>
              <w:rPr>
                <w:color w:val="000000"/>
                <w:sz w:val="20"/>
                <w:szCs w:val="20"/>
              </w:rPr>
            </w:pPr>
            <w:r>
              <w:rPr>
                <w:color w:val="000000"/>
                <w:sz w:val="20"/>
                <w:szCs w:val="20"/>
              </w:rPr>
              <w:t>54,1%</w:t>
            </w:r>
          </w:p>
        </w:tc>
        <w:tc>
          <w:tcPr>
            <w:tcW w:w="1103" w:type="dxa"/>
            <w:shd w:val="clear" w:color="auto" w:fill="auto"/>
            <w:vAlign w:val="bottom"/>
          </w:tcPr>
          <w:p>
            <w:pPr>
              <w:jc w:val="right"/>
              <w:rPr>
                <w:color w:val="000000"/>
                <w:sz w:val="20"/>
                <w:szCs w:val="20"/>
              </w:rPr>
            </w:pPr>
            <w:r>
              <w:rPr>
                <w:color w:val="000000"/>
                <w:sz w:val="20"/>
                <w:szCs w:val="20"/>
              </w:rPr>
              <w:t>42951,3</w:t>
            </w:r>
          </w:p>
        </w:tc>
        <w:tc>
          <w:tcPr>
            <w:tcW w:w="1082" w:type="dxa"/>
            <w:shd w:val="clear" w:color="auto" w:fill="auto"/>
            <w:vAlign w:val="bottom"/>
          </w:tcPr>
          <w:p>
            <w:pPr>
              <w:jc w:val="right"/>
              <w:rPr>
                <w:color w:val="000000"/>
                <w:sz w:val="20"/>
                <w:szCs w:val="20"/>
              </w:rPr>
            </w:pPr>
            <w:r>
              <w:rPr>
                <w:color w:val="000000"/>
                <w:sz w:val="20"/>
                <w:szCs w:val="20"/>
              </w:rPr>
              <w:t>740,6</w:t>
            </w:r>
          </w:p>
        </w:tc>
        <w:tc>
          <w:tcPr>
            <w:tcW w:w="792" w:type="dxa"/>
            <w:shd w:val="clear" w:color="auto" w:fill="auto"/>
            <w:vAlign w:val="bottom"/>
          </w:tcPr>
          <w:p>
            <w:pPr>
              <w:jc w:val="right"/>
              <w:rPr>
                <w:color w:val="000000"/>
                <w:sz w:val="20"/>
                <w:szCs w:val="20"/>
              </w:rPr>
            </w:pPr>
            <w:r>
              <w:rPr>
                <w:color w:val="000000"/>
                <w:sz w:val="20"/>
                <w:szCs w:val="20"/>
              </w:rPr>
              <w:t>1,7%</w:t>
            </w:r>
          </w:p>
        </w:tc>
        <w:tc>
          <w:tcPr>
            <w:tcW w:w="1198" w:type="dxa"/>
            <w:shd w:val="clear" w:color="auto" w:fill="auto"/>
            <w:vAlign w:val="bottom"/>
          </w:tcPr>
          <w:p>
            <w:pPr>
              <w:jc w:val="right"/>
              <w:rPr>
                <w:color w:val="000000"/>
                <w:sz w:val="20"/>
                <w:szCs w:val="20"/>
              </w:rPr>
            </w:pPr>
            <w:r>
              <w:rPr>
                <w:color w:val="000000"/>
                <w:sz w:val="20"/>
                <w:szCs w:val="20"/>
              </w:rPr>
              <w:t>42210,7</w:t>
            </w:r>
          </w:p>
        </w:tc>
        <w:tc>
          <w:tcPr>
            <w:tcW w:w="992" w:type="dxa"/>
            <w:shd w:val="clear" w:color="auto" w:fill="auto"/>
            <w:vAlign w:val="bottom"/>
          </w:tcPr>
          <w:p>
            <w:pPr>
              <w:jc w:val="right"/>
              <w:rPr>
                <w:color w:val="000000"/>
                <w:sz w:val="20"/>
                <w:szCs w:val="20"/>
              </w:rPr>
            </w:pPr>
            <w:r>
              <w:rPr>
                <w:color w:val="000000"/>
                <w:sz w:val="20"/>
                <w:szCs w:val="2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СМУ-158</w:t>
            </w:r>
          </w:p>
        </w:tc>
        <w:tc>
          <w:tcPr>
            <w:tcW w:w="1139" w:type="dxa"/>
            <w:shd w:val="clear" w:color="auto" w:fill="auto"/>
            <w:vAlign w:val="bottom"/>
          </w:tcPr>
          <w:p>
            <w:pPr>
              <w:jc w:val="right"/>
              <w:rPr>
                <w:color w:val="000000"/>
                <w:sz w:val="20"/>
                <w:szCs w:val="20"/>
              </w:rPr>
            </w:pPr>
            <w:r>
              <w:rPr>
                <w:color w:val="000000"/>
                <w:sz w:val="20"/>
                <w:szCs w:val="20"/>
              </w:rPr>
              <w:t>23820,3</w:t>
            </w:r>
          </w:p>
        </w:tc>
        <w:tc>
          <w:tcPr>
            <w:tcW w:w="936" w:type="dxa"/>
            <w:shd w:val="clear" w:color="auto" w:fill="auto"/>
            <w:vAlign w:val="bottom"/>
          </w:tcPr>
          <w:p>
            <w:pPr>
              <w:jc w:val="right"/>
              <w:rPr>
                <w:color w:val="000000"/>
                <w:sz w:val="20"/>
                <w:szCs w:val="20"/>
              </w:rPr>
            </w:pPr>
            <w:r>
              <w:rPr>
                <w:color w:val="000000"/>
                <w:sz w:val="20"/>
                <w:szCs w:val="20"/>
              </w:rPr>
              <w:t>571,7</w:t>
            </w:r>
          </w:p>
        </w:tc>
        <w:tc>
          <w:tcPr>
            <w:tcW w:w="765" w:type="dxa"/>
            <w:shd w:val="clear" w:color="auto" w:fill="auto"/>
            <w:vAlign w:val="bottom"/>
          </w:tcPr>
          <w:p>
            <w:pPr>
              <w:jc w:val="right"/>
              <w:rPr>
                <w:color w:val="000000"/>
                <w:sz w:val="20"/>
                <w:szCs w:val="20"/>
              </w:rPr>
            </w:pPr>
            <w:r>
              <w:rPr>
                <w:color w:val="000000"/>
                <w:sz w:val="20"/>
                <w:szCs w:val="20"/>
              </w:rPr>
              <w:t>2,4%</w:t>
            </w:r>
          </w:p>
        </w:tc>
        <w:tc>
          <w:tcPr>
            <w:tcW w:w="1103" w:type="dxa"/>
            <w:shd w:val="clear" w:color="auto" w:fill="auto"/>
            <w:vAlign w:val="bottom"/>
          </w:tcPr>
          <w:p>
            <w:pPr>
              <w:jc w:val="right"/>
              <w:rPr>
                <w:color w:val="000000"/>
                <w:sz w:val="20"/>
                <w:szCs w:val="20"/>
              </w:rPr>
            </w:pPr>
            <w:r>
              <w:rPr>
                <w:color w:val="000000"/>
                <w:sz w:val="20"/>
                <w:szCs w:val="20"/>
              </w:rPr>
              <w:t>23248,6</w:t>
            </w:r>
          </w:p>
        </w:tc>
        <w:tc>
          <w:tcPr>
            <w:tcW w:w="1082" w:type="dxa"/>
            <w:shd w:val="clear" w:color="auto" w:fill="auto"/>
            <w:vAlign w:val="bottom"/>
          </w:tcPr>
          <w:p>
            <w:pPr>
              <w:jc w:val="right"/>
              <w:rPr>
                <w:color w:val="000000"/>
                <w:sz w:val="20"/>
                <w:szCs w:val="20"/>
              </w:rPr>
            </w:pPr>
            <w:r>
              <w:rPr>
                <w:color w:val="000000"/>
                <w:sz w:val="20"/>
                <w:szCs w:val="20"/>
              </w:rPr>
              <w:t>2218,6</w:t>
            </w:r>
          </w:p>
        </w:tc>
        <w:tc>
          <w:tcPr>
            <w:tcW w:w="792" w:type="dxa"/>
            <w:shd w:val="clear" w:color="auto" w:fill="auto"/>
            <w:vAlign w:val="bottom"/>
          </w:tcPr>
          <w:p>
            <w:pPr>
              <w:jc w:val="right"/>
              <w:rPr>
                <w:color w:val="000000"/>
                <w:sz w:val="20"/>
                <w:szCs w:val="20"/>
              </w:rPr>
            </w:pPr>
            <w:r>
              <w:rPr>
                <w:color w:val="000000"/>
                <w:sz w:val="20"/>
                <w:szCs w:val="20"/>
              </w:rPr>
              <w:t>9,5%</w:t>
            </w:r>
          </w:p>
        </w:tc>
        <w:tc>
          <w:tcPr>
            <w:tcW w:w="1198" w:type="dxa"/>
            <w:shd w:val="clear" w:color="auto" w:fill="auto"/>
            <w:vAlign w:val="bottom"/>
          </w:tcPr>
          <w:p>
            <w:pPr>
              <w:jc w:val="right"/>
              <w:rPr>
                <w:color w:val="000000"/>
                <w:sz w:val="20"/>
                <w:szCs w:val="20"/>
              </w:rPr>
            </w:pPr>
            <w:r>
              <w:rPr>
                <w:color w:val="000000"/>
                <w:sz w:val="20"/>
                <w:szCs w:val="20"/>
              </w:rPr>
              <w:t>21030,0</w:t>
            </w:r>
          </w:p>
        </w:tc>
        <w:tc>
          <w:tcPr>
            <w:tcW w:w="992" w:type="dxa"/>
            <w:shd w:val="clear" w:color="auto" w:fill="auto"/>
            <w:vAlign w:val="bottom"/>
          </w:tcPr>
          <w:p>
            <w:pPr>
              <w:jc w:val="right"/>
              <w:rPr>
                <w:color w:val="000000"/>
                <w:sz w:val="20"/>
                <w:szCs w:val="20"/>
              </w:rPr>
            </w:pPr>
            <w:r>
              <w:rPr>
                <w:color w:val="000000"/>
                <w:sz w:val="20"/>
                <w:szCs w:val="20"/>
              </w:rPr>
              <w:t>3457,4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ООО "УНР-858"</w:t>
            </w:r>
          </w:p>
        </w:tc>
        <w:tc>
          <w:tcPr>
            <w:tcW w:w="1139" w:type="dxa"/>
            <w:shd w:val="clear" w:color="auto" w:fill="auto"/>
            <w:vAlign w:val="bottom"/>
          </w:tcPr>
          <w:p>
            <w:pPr>
              <w:jc w:val="right"/>
              <w:rPr>
                <w:color w:val="000000"/>
                <w:sz w:val="20"/>
                <w:szCs w:val="20"/>
              </w:rPr>
            </w:pPr>
            <w:r>
              <w:rPr>
                <w:color w:val="000000"/>
                <w:sz w:val="20"/>
                <w:szCs w:val="20"/>
              </w:rPr>
              <w:t>3512,8</w:t>
            </w:r>
          </w:p>
        </w:tc>
        <w:tc>
          <w:tcPr>
            <w:tcW w:w="936" w:type="dxa"/>
            <w:shd w:val="clear" w:color="auto" w:fill="auto"/>
            <w:vAlign w:val="bottom"/>
          </w:tcPr>
          <w:p>
            <w:pPr>
              <w:jc w:val="right"/>
              <w:rPr>
                <w:color w:val="000000"/>
                <w:sz w:val="20"/>
                <w:szCs w:val="20"/>
              </w:rPr>
            </w:pPr>
            <w:r>
              <w:rPr>
                <w:color w:val="000000"/>
                <w:sz w:val="20"/>
                <w:szCs w:val="20"/>
              </w:rPr>
              <w:t>7,8</w:t>
            </w:r>
          </w:p>
        </w:tc>
        <w:tc>
          <w:tcPr>
            <w:tcW w:w="765" w:type="dxa"/>
            <w:shd w:val="clear" w:color="auto" w:fill="auto"/>
            <w:vAlign w:val="bottom"/>
          </w:tcPr>
          <w:p>
            <w:pPr>
              <w:jc w:val="right"/>
              <w:rPr>
                <w:color w:val="000000"/>
                <w:sz w:val="20"/>
                <w:szCs w:val="20"/>
              </w:rPr>
            </w:pPr>
            <w:r>
              <w:rPr>
                <w:color w:val="000000"/>
                <w:sz w:val="20"/>
                <w:szCs w:val="20"/>
              </w:rPr>
              <w:t>0,2%</w:t>
            </w:r>
          </w:p>
        </w:tc>
        <w:tc>
          <w:tcPr>
            <w:tcW w:w="1103" w:type="dxa"/>
            <w:shd w:val="clear" w:color="auto" w:fill="auto"/>
            <w:vAlign w:val="bottom"/>
          </w:tcPr>
          <w:p>
            <w:pPr>
              <w:jc w:val="right"/>
              <w:rPr>
                <w:color w:val="000000"/>
                <w:sz w:val="20"/>
                <w:szCs w:val="20"/>
              </w:rPr>
            </w:pPr>
            <w:r>
              <w:rPr>
                <w:color w:val="000000"/>
                <w:sz w:val="20"/>
                <w:szCs w:val="20"/>
              </w:rPr>
              <w:t>3505,0</w:t>
            </w:r>
          </w:p>
        </w:tc>
        <w:tc>
          <w:tcPr>
            <w:tcW w:w="1082" w:type="dxa"/>
            <w:shd w:val="clear" w:color="auto" w:fill="auto"/>
            <w:vAlign w:val="bottom"/>
          </w:tcPr>
          <w:p>
            <w:pPr>
              <w:jc w:val="right"/>
              <w:rPr>
                <w:color w:val="000000"/>
                <w:sz w:val="20"/>
                <w:szCs w:val="20"/>
              </w:rPr>
            </w:pPr>
            <w:r>
              <w:rPr>
                <w:color w:val="000000"/>
                <w:sz w:val="20"/>
                <w:szCs w:val="20"/>
              </w:rPr>
              <w:t>7,3</w:t>
            </w:r>
          </w:p>
        </w:tc>
        <w:tc>
          <w:tcPr>
            <w:tcW w:w="792" w:type="dxa"/>
            <w:shd w:val="clear" w:color="auto" w:fill="auto"/>
            <w:vAlign w:val="bottom"/>
          </w:tcPr>
          <w:p>
            <w:pPr>
              <w:jc w:val="right"/>
              <w:rPr>
                <w:color w:val="000000"/>
                <w:sz w:val="20"/>
                <w:szCs w:val="20"/>
              </w:rPr>
            </w:pPr>
            <w:r>
              <w:rPr>
                <w:color w:val="000000"/>
                <w:sz w:val="20"/>
                <w:szCs w:val="20"/>
              </w:rPr>
              <w:t>0,2%</w:t>
            </w:r>
          </w:p>
        </w:tc>
        <w:tc>
          <w:tcPr>
            <w:tcW w:w="1198" w:type="dxa"/>
            <w:shd w:val="clear" w:color="auto" w:fill="auto"/>
            <w:vAlign w:val="bottom"/>
          </w:tcPr>
          <w:p>
            <w:pPr>
              <w:jc w:val="right"/>
              <w:rPr>
                <w:color w:val="000000"/>
                <w:sz w:val="20"/>
                <w:szCs w:val="20"/>
              </w:rPr>
            </w:pPr>
            <w:r>
              <w:rPr>
                <w:color w:val="000000"/>
                <w:sz w:val="20"/>
                <w:szCs w:val="20"/>
              </w:rPr>
              <w:t>3497,7</w:t>
            </w:r>
          </w:p>
        </w:tc>
        <w:tc>
          <w:tcPr>
            <w:tcW w:w="992" w:type="dxa"/>
            <w:shd w:val="clear" w:color="auto" w:fill="auto"/>
            <w:vAlign w:val="bottom"/>
          </w:tcPr>
          <w:p>
            <w:pPr>
              <w:jc w:val="right"/>
              <w:rPr>
                <w:color w:val="000000"/>
                <w:sz w:val="20"/>
                <w:szCs w:val="20"/>
              </w:rPr>
            </w:pPr>
            <w:r>
              <w:rPr>
                <w:color w:val="000000"/>
                <w:sz w:val="20"/>
                <w:szCs w:val="20"/>
              </w:rPr>
              <w:t>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ООО "Теплосрвис-М"</w:t>
            </w:r>
          </w:p>
        </w:tc>
        <w:tc>
          <w:tcPr>
            <w:tcW w:w="1139" w:type="dxa"/>
            <w:shd w:val="clear" w:color="auto" w:fill="auto"/>
            <w:vAlign w:val="bottom"/>
          </w:tcPr>
          <w:p>
            <w:pPr>
              <w:jc w:val="right"/>
              <w:rPr>
                <w:color w:val="000000"/>
                <w:sz w:val="20"/>
                <w:szCs w:val="20"/>
              </w:rPr>
            </w:pPr>
            <w:r>
              <w:rPr>
                <w:color w:val="000000"/>
                <w:sz w:val="20"/>
                <w:szCs w:val="20"/>
              </w:rPr>
              <w:t>4636,5</w:t>
            </w:r>
          </w:p>
        </w:tc>
        <w:tc>
          <w:tcPr>
            <w:tcW w:w="936" w:type="dxa"/>
            <w:shd w:val="clear" w:color="auto" w:fill="auto"/>
            <w:vAlign w:val="bottom"/>
          </w:tcPr>
          <w:p>
            <w:pPr>
              <w:jc w:val="right"/>
              <w:rPr>
                <w:color w:val="000000"/>
                <w:sz w:val="20"/>
                <w:szCs w:val="20"/>
              </w:rPr>
            </w:pPr>
            <w:r>
              <w:rPr>
                <w:color w:val="000000"/>
                <w:sz w:val="20"/>
                <w:szCs w:val="20"/>
              </w:rPr>
              <w:t>190,8</w:t>
            </w:r>
          </w:p>
        </w:tc>
        <w:tc>
          <w:tcPr>
            <w:tcW w:w="765" w:type="dxa"/>
            <w:shd w:val="clear" w:color="auto" w:fill="auto"/>
            <w:vAlign w:val="bottom"/>
          </w:tcPr>
          <w:p>
            <w:pPr>
              <w:jc w:val="right"/>
              <w:rPr>
                <w:color w:val="000000"/>
                <w:sz w:val="20"/>
                <w:szCs w:val="20"/>
              </w:rPr>
            </w:pPr>
            <w:r>
              <w:rPr>
                <w:color w:val="000000"/>
                <w:sz w:val="20"/>
                <w:szCs w:val="20"/>
              </w:rPr>
              <w:t>4,1%</w:t>
            </w:r>
          </w:p>
        </w:tc>
        <w:tc>
          <w:tcPr>
            <w:tcW w:w="1103" w:type="dxa"/>
            <w:shd w:val="clear" w:color="auto" w:fill="auto"/>
            <w:vAlign w:val="bottom"/>
          </w:tcPr>
          <w:p>
            <w:pPr>
              <w:jc w:val="right"/>
              <w:rPr>
                <w:color w:val="000000"/>
                <w:sz w:val="20"/>
                <w:szCs w:val="20"/>
              </w:rPr>
            </w:pPr>
            <w:r>
              <w:rPr>
                <w:color w:val="000000"/>
                <w:sz w:val="20"/>
                <w:szCs w:val="20"/>
              </w:rPr>
              <w:t>4445,8</w:t>
            </w:r>
          </w:p>
        </w:tc>
        <w:tc>
          <w:tcPr>
            <w:tcW w:w="1082" w:type="dxa"/>
            <w:shd w:val="clear" w:color="auto" w:fill="auto"/>
            <w:vAlign w:val="bottom"/>
          </w:tcPr>
          <w:p>
            <w:pPr>
              <w:jc w:val="right"/>
              <w:rPr>
                <w:color w:val="000000"/>
                <w:sz w:val="20"/>
                <w:szCs w:val="20"/>
              </w:rPr>
            </w:pPr>
            <w:r>
              <w:rPr>
                <w:color w:val="000000"/>
                <w:sz w:val="20"/>
                <w:szCs w:val="20"/>
              </w:rPr>
              <w:t>177,8</w:t>
            </w:r>
          </w:p>
        </w:tc>
        <w:tc>
          <w:tcPr>
            <w:tcW w:w="792" w:type="dxa"/>
            <w:shd w:val="clear" w:color="auto" w:fill="auto"/>
            <w:vAlign w:val="bottom"/>
          </w:tcPr>
          <w:p>
            <w:pPr>
              <w:jc w:val="right"/>
              <w:rPr>
                <w:color w:val="000000"/>
                <w:sz w:val="20"/>
                <w:szCs w:val="20"/>
              </w:rPr>
            </w:pPr>
            <w:r>
              <w:rPr>
                <w:color w:val="000000"/>
                <w:sz w:val="20"/>
                <w:szCs w:val="20"/>
              </w:rPr>
              <w:t>4,0%</w:t>
            </w:r>
          </w:p>
        </w:tc>
        <w:tc>
          <w:tcPr>
            <w:tcW w:w="1198" w:type="dxa"/>
            <w:shd w:val="clear" w:color="auto" w:fill="auto"/>
            <w:vAlign w:val="bottom"/>
          </w:tcPr>
          <w:p>
            <w:pPr>
              <w:jc w:val="right"/>
              <w:rPr>
                <w:color w:val="000000"/>
                <w:sz w:val="20"/>
                <w:szCs w:val="20"/>
              </w:rPr>
            </w:pPr>
            <w:r>
              <w:rPr>
                <w:color w:val="000000"/>
                <w:sz w:val="20"/>
                <w:szCs w:val="20"/>
              </w:rPr>
              <w:t>4267,9</w:t>
            </w:r>
          </w:p>
        </w:tc>
        <w:tc>
          <w:tcPr>
            <w:tcW w:w="992" w:type="dxa"/>
            <w:shd w:val="clear" w:color="auto" w:fill="auto"/>
            <w:vAlign w:val="bottom"/>
          </w:tcPr>
          <w:p>
            <w:pPr>
              <w:jc w:val="right"/>
              <w:rPr>
                <w:color w:val="000000"/>
                <w:sz w:val="20"/>
                <w:szCs w:val="20"/>
              </w:rPr>
            </w:pPr>
            <w:r>
              <w:rPr>
                <w:color w:val="000000"/>
                <w:sz w:val="20"/>
                <w:szCs w:val="20"/>
              </w:rPr>
              <w:t>616,1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ООО "ТэплоЭнергоСервис"</w:t>
            </w:r>
          </w:p>
        </w:tc>
        <w:tc>
          <w:tcPr>
            <w:tcW w:w="1139" w:type="dxa"/>
            <w:shd w:val="clear" w:color="auto" w:fill="auto"/>
            <w:vAlign w:val="bottom"/>
          </w:tcPr>
          <w:p>
            <w:pPr>
              <w:jc w:val="right"/>
              <w:rPr>
                <w:color w:val="000000"/>
                <w:sz w:val="20"/>
                <w:szCs w:val="20"/>
              </w:rPr>
            </w:pPr>
            <w:r>
              <w:rPr>
                <w:color w:val="000000"/>
                <w:sz w:val="20"/>
                <w:szCs w:val="20"/>
              </w:rPr>
              <w:t>35390,0</w:t>
            </w:r>
          </w:p>
        </w:tc>
        <w:tc>
          <w:tcPr>
            <w:tcW w:w="936" w:type="dxa"/>
            <w:shd w:val="clear" w:color="auto" w:fill="auto"/>
            <w:vAlign w:val="bottom"/>
          </w:tcPr>
          <w:p>
            <w:pPr>
              <w:jc w:val="right"/>
              <w:rPr>
                <w:color w:val="000000"/>
                <w:sz w:val="20"/>
                <w:szCs w:val="20"/>
              </w:rPr>
            </w:pPr>
            <w:r>
              <w:rPr>
                <w:color w:val="000000"/>
                <w:sz w:val="20"/>
                <w:szCs w:val="20"/>
              </w:rPr>
              <w:t>165,5</w:t>
            </w:r>
          </w:p>
        </w:tc>
        <w:tc>
          <w:tcPr>
            <w:tcW w:w="765" w:type="dxa"/>
            <w:shd w:val="clear" w:color="auto" w:fill="auto"/>
            <w:vAlign w:val="bottom"/>
          </w:tcPr>
          <w:p>
            <w:pPr>
              <w:jc w:val="right"/>
              <w:rPr>
                <w:color w:val="000000"/>
                <w:sz w:val="20"/>
                <w:szCs w:val="20"/>
              </w:rPr>
            </w:pPr>
            <w:r>
              <w:rPr>
                <w:color w:val="000000"/>
                <w:sz w:val="20"/>
                <w:szCs w:val="20"/>
              </w:rPr>
              <w:t>0,5%</w:t>
            </w:r>
          </w:p>
        </w:tc>
        <w:tc>
          <w:tcPr>
            <w:tcW w:w="1103" w:type="dxa"/>
            <w:shd w:val="clear" w:color="auto" w:fill="auto"/>
            <w:vAlign w:val="bottom"/>
          </w:tcPr>
          <w:p>
            <w:pPr>
              <w:jc w:val="right"/>
              <w:rPr>
                <w:color w:val="000000"/>
                <w:sz w:val="20"/>
                <w:szCs w:val="20"/>
              </w:rPr>
            </w:pPr>
            <w:r>
              <w:rPr>
                <w:color w:val="000000"/>
                <w:sz w:val="20"/>
                <w:szCs w:val="20"/>
              </w:rPr>
              <w:t>35224,5</w:t>
            </w:r>
          </w:p>
        </w:tc>
        <w:tc>
          <w:tcPr>
            <w:tcW w:w="1082" w:type="dxa"/>
            <w:shd w:val="clear" w:color="auto" w:fill="auto"/>
            <w:vAlign w:val="bottom"/>
          </w:tcPr>
          <w:p>
            <w:pPr>
              <w:jc w:val="right"/>
              <w:rPr>
                <w:color w:val="000000"/>
                <w:sz w:val="20"/>
                <w:szCs w:val="20"/>
              </w:rPr>
            </w:pPr>
            <w:r>
              <w:rPr>
                <w:color w:val="000000"/>
                <w:sz w:val="20"/>
                <w:szCs w:val="20"/>
              </w:rPr>
              <w:t>765,8</w:t>
            </w:r>
          </w:p>
        </w:tc>
        <w:tc>
          <w:tcPr>
            <w:tcW w:w="792" w:type="dxa"/>
            <w:shd w:val="clear" w:color="auto" w:fill="auto"/>
            <w:vAlign w:val="bottom"/>
          </w:tcPr>
          <w:p>
            <w:pPr>
              <w:jc w:val="right"/>
              <w:rPr>
                <w:color w:val="000000"/>
                <w:sz w:val="20"/>
                <w:szCs w:val="20"/>
              </w:rPr>
            </w:pPr>
            <w:r>
              <w:rPr>
                <w:color w:val="000000"/>
                <w:sz w:val="20"/>
                <w:szCs w:val="20"/>
              </w:rPr>
              <w:t>2,2%</w:t>
            </w:r>
          </w:p>
        </w:tc>
        <w:tc>
          <w:tcPr>
            <w:tcW w:w="1198" w:type="dxa"/>
            <w:shd w:val="clear" w:color="auto" w:fill="auto"/>
            <w:vAlign w:val="bottom"/>
          </w:tcPr>
          <w:p>
            <w:pPr>
              <w:jc w:val="right"/>
              <w:rPr>
                <w:color w:val="000000"/>
                <w:sz w:val="20"/>
                <w:szCs w:val="20"/>
              </w:rPr>
            </w:pPr>
            <w:r>
              <w:rPr>
                <w:color w:val="000000"/>
                <w:sz w:val="20"/>
                <w:szCs w:val="20"/>
              </w:rPr>
              <w:t>34458,7</w:t>
            </w:r>
          </w:p>
        </w:tc>
        <w:tc>
          <w:tcPr>
            <w:tcW w:w="992" w:type="dxa"/>
            <w:shd w:val="clear" w:color="auto" w:fill="auto"/>
            <w:vAlign w:val="bottom"/>
          </w:tcPr>
          <w:p>
            <w:pPr>
              <w:jc w:val="right"/>
              <w:rPr>
                <w:color w:val="000000"/>
                <w:sz w:val="20"/>
                <w:szCs w:val="20"/>
              </w:rPr>
            </w:pPr>
            <w:r>
              <w:rPr>
                <w:color w:val="000000"/>
                <w:sz w:val="20"/>
                <w:szCs w:val="20"/>
              </w:rPr>
              <w:t>4652,1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color w:val="000000"/>
                <w:sz w:val="20"/>
                <w:szCs w:val="20"/>
              </w:rPr>
            </w:pPr>
            <w:r>
              <w:rPr>
                <w:color w:val="000000"/>
                <w:sz w:val="20"/>
                <w:szCs w:val="20"/>
              </w:rPr>
              <w:t>ФГБУ "ЦЖКУ"</w:t>
            </w:r>
          </w:p>
        </w:tc>
        <w:tc>
          <w:tcPr>
            <w:tcW w:w="1139" w:type="dxa"/>
            <w:shd w:val="clear" w:color="auto" w:fill="auto"/>
            <w:vAlign w:val="bottom"/>
          </w:tcPr>
          <w:p>
            <w:pPr>
              <w:jc w:val="right"/>
              <w:rPr>
                <w:color w:val="000000"/>
                <w:sz w:val="20"/>
                <w:szCs w:val="20"/>
              </w:rPr>
            </w:pPr>
            <w:r>
              <w:rPr>
                <w:color w:val="000000"/>
                <w:sz w:val="20"/>
                <w:szCs w:val="20"/>
              </w:rPr>
              <w:t>5743,3</w:t>
            </w:r>
          </w:p>
        </w:tc>
        <w:tc>
          <w:tcPr>
            <w:tcW w:w="936" w:type="dxa"/>
            <w:shd w:val="clear" w:color="auto" w:fill="auto"/>
            <w:vAlign w:val="bottom"/>
          </w:tcPr>
          <w:p>
            <w:pPr>
              <w:jc w:val="right"/>
              <w:rPr>
                <w:color w:val="000000"/>
                <w:sz w:val="20"/>
                <w:szCs w:val="20"/>
              </w:rPr>
            </w:pPr>
            <w:r>
              <w:rPr>
                <w:color w:val="000000"/>
                <w:sz w:val="20"/>
                <w:szCs w:val="20"/>
              </w:rPr>
              <w:t>0,9</w:t>
            </w:r>
          </w:p>
        </w:tc>
        <w:tc>
          <w:tcPr>
            <w:tcW w:w="765" w:type="dxa"/>
            <w:shd w:val="clear" w:color="auto" w:fill="auto"/>
            <w:vAlign w:val="bottom"/>
          </w:tcPr>
          <w:p>
            <w:pPr>
              <w:jc w:val="right"/>
              <w:rPr>
                <w:color w:val="000000"/>
                <w:sz w:val="20"/>
                <w:szCs w:val="20"/>
              </w:rPr>
            </w:pPr>
            <w:r>
              <w:rPr>
                <w:color w:val="000000"/>
                <w:sz w:val="20"/>
                <w:szCs w:val="20"/>
              </w:rPr>
              <w:t>0,0%</w:t>
            </w:r>
          </w:p>
        </w:tc>
        <w:tc>
          <w:tcPr>
            <w:tcW w:w="1103" w:type="dxa"/>
            <w:shd w:val="clear" w:color="auto" w:fill="auto"/>
            <w:vAlign w:val="bottom"/>
          </w:tcPr>
          <w:p>
            <w:pPr>
              <w:jc w:val="right"/>
              <w:rPr>
                <w:color w:val="000000"/>
                <w:sz w:val="20"/>
                <w:szCs w:val="20"/>
              </w:rPr>
            </w:pPr>
            <w:r>
              <w:rPr>
                <w:color w:val="000000"/>
                <w:sz w:val="20"/>
                <w:szCs w:val="20"/>
              </w:rPr>
              <w:t>5742,4</w:t>
            </w:r>
          </w:p>
        </w:tc>
        <w:tc>
          <w:tcPr>
            <w:tcW w:w="1082" w:type="dxa"/>
            <w:shd w:val="clear" w:color="auto" w:fill="auto"/>
            <w:vAlign w:val="bottom"/>
          </w:tcPr>
          <w:p>
            <w:pPr>
              <w:jc w:val="right"/>
              <w:rPr>
                <w:color w:val="000000"/>
                <w:sz w:val="20"/>
                <w:szCs w:val="20"/>
              </w:rPr>
            </w:pPr>
            <w:r>
              <w:rPr>
                <w:color w:val="000000"/>
                <w:sz w:val="20"/>
                <w:szCs w:val="20"/>
              </w:rPr>
              <w:t>229,7</w:t>
            </w:r>
          </w:p>
        </w:tc>
        <w:tc>
          <w:tcPr>
            <w:tcW w:w="792" w:type="dxa"/>
            <w:shd w:val="clear" w:color="auto" w:fill="auto"/>
            <w:vAlign w:val="bottom"/>
          </w:tcPr>
          <w:p>
            <w:pPr>
              <w:jc w:val="right"/>
              <w:rPr>
                <w:color w:val="000000"/>
                <w:sz w:val="20"/>
                <w:szCs w:val="20"/>
              </w:rPr>
            </w:pPr>
            <w:r>
              <w:rPr>
                <w:color w:val="000000"/>
                <w:sz w:val="20"/>
                <w:szCs w:val="20"/>
              </w:rPr>
              <w:t>4,0%</w:t>
            </w:r>
          </w:p>
        </w:tc>
        <w:tc>
          <w:tcPr>
            <w:tcW w:w="1198" w:type="dxa"/>
            <w:shd w:val="clear" w:color="auto" w:fill="auto"/>
            <w:vAlign w:val="bottom"/>
          </w:tcPr>
          <w:p>
            <w:pPr>
              <w:jc w:val="right"/>
              <w:rPr>
                <w:color w:val="000000"/>
                <w:sz w:val="20"/>
                <w:szCs w:val="20"/>
              </w:rPr>
            </w:pPr>
            <w:r>
              <w:rPr>
                <w:color w:val="000000"/>
                <w:sz w:val="20"/>
                <w:szCs w:val="20"/>
              </w:rPr>
              <w:t>5512,7</w:t>
            </w:r>
          </w:p>
        </w:tc>
        <w:tc>
          <w:tcPr>
            <w:tcW w:w="992" w:type="dxa"/>
            <w:shd w:val="clear" w:color="auto" w:fill="auto"/>
            <w:vAlign w:val="bottom"/>
          </w:tcPr>
          <w:p>
            <w:pPr>
              <w:jc w:val="right"/>
              <w:rPr>
                <w:color w:val="000000"/>
                <w:sz w:val="20"/>
                <w:szCs w:val="20"/>
              </w:rPr>
            </w:pPr>
            <w:r>
              <w:rPr>
                <w:color w:val="000000"/>
                <w:sz w:val="20"/>
                <w:szCs w:val="20"/>
              </w:rPr>
              <w:t>803,8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122" w:type="dxa"/>
            <w:shd w:val="clear" w:color="auto" w:fill="auto"/>
            <w:vAlign w:val="bottom"/>
          </w:tcPr>
          <w:p>
            <w:pPr>
              <w:rPr>
                <w:b/>
                <w:bCs/>
                <w:color w:val="000000"/>
                <w:sz w:val="20"/>
                <w:szCs w:val="20"/>
              </w:rPr>
            </w:pPr>
            <w:r>
              <w:rPr>
                <w:b/>
                <w:bCs/>
                <w:color w:val="000000"/>
                <w:sz w:val="20"/>
                <w:szCs w:val="20"/>
              </w:rPr>
              <w:t>ВСЕГО</w:t>
            </w:r>
          </w:p>
        </w:tc>
        <w:tc>
          <w:tcPr>
            <w:tcW w:w="1139" w:type="dxa"/>
            <w:shd w:val="clear" w:color="auto" w:fill="auto"/>
            <w:vAlign w:val="bottom"/>
          </w:tcPr>
          <w:p>
            <w:pPr>
              <w:jc w:val="right"/>
              <w:rPr>
                <w:b/>
                <w:bCs/>
                <w:color w:val="000000"/>
                <w:sz w:val="20"/>
                <w:szCs w:val="20"/>
              </w:rPr>
            </w:pPr>
            <w:r>
              <w:rPr>
                <w:b/>
                <w:bCs/>
                <w:color w:val="000000"/>
                <w:sz w:val="20"/>
                <w:szCs w:val="20"/>
              </w:rPr>
              <w:t>1373897,9</w:t>
            </w:r>
          </w:p>
        </w:tc>
        <w:tc>
          <w:tcPr>
            <w:tcW w:w="936" w:type="dxa"/>
            <w:shd w:val="clear" w:color="auto" w:fill="auto"/>
            <w:vAlign w:val="bottom"/>
          </w:tcPr>
          <w:p>
            <w:pPr>
              <w:jc w:val="right"/>
              <w:rPr>
                <w:b/>
                <w:bCs/>
                <w:color w:val="000000"/>
                <w:sz w:val="20"/>
                <w:szCs w:val="20"/>
              </w:rPr>
            </w:pPr>
            <w:r>
              <w:rPr>
                <w:b/>
                <w:bCs/>
                <w:color w:val="000000"/>
                <w:sz w:val="20"/>
                <w:szCs w:val="20"/>
              </w:rPr>
              <w:t>63131,7</w:t>
            </w:r>
          </w:p>
        </w:tc>
        <w:tc>
          <w:tcPr>
            <w:tcW w:w="765" w:type="dxa"/>
            <w:shd w:val="clear" w:color="auto" w:fill="auto"/>
            <w:vAlign w:val="bottom"/>
          </w:tcPr>
          <w:p>
            <w:pPr>
              <w:jc w:val="right"/>
              <w:rPr>
                <w:b/>
                <w:bCs/>
                <w:color w:val="000000"/>
                <w:sz w:val="20"/>
                <w:szCs w:val="20"/>
              </w:rPr>
            </w:pPr>
            <w:r>
              <w:rPr>
                <w:b/>
                <w:bCs/>
                <w:color w:val="000000"/>
                <w:sz w:val="20"/>
                <w:szCs w:val="20"/>
              </w:rPr>
              <w:t>4,6%</w:t>
            </w:r>
          </w:p>
        </w:tc>
        <w:tc>
          <w:tcPr>
            <w:tcW w:w="1103" w:type="dxa"/>
            <w:shd w:val="clear" w:color="auto" w:fill="auto"/>
            <w:vAlign w:val="bottom"/>
          </w:tcPr>
          <w:p>
            <w:pPr>
              <w:jc w:val="right"/>
              <w:rPr>
                <w:b/>
                <w:bCs/>
                <w:color w:val="000000"/>
                <w:sz w:val="20"/>
                <w:szCs w:val="20"/>
              </w:rPr>
            </w:pPr>
            <w:r>
              <w:rPr>
                <w:b/>
                <w:bCs/>
                <w:color w:val="000000"/>
                <w:sz w:val="20"/>
                <w:szCs w:val="20"/>
              </w:rPr>
              <w:t>1310766,2</w:t>
            </w:r>
          </w:p>
        </w:tc>
        <w:tc>
          <w:tcPr>
            <w:tcW w:w="1082" w:type="dxa"/>
            <w:shd w:val="clear" w:color="auto" w:fill="auto"/>
            <w:vAlign w:val="bottom"/>
          </w:tcPr>
          <w:p>
            <w:pPr>
              <w:jc w:val="right"/>
              <w:rPr>
                <w:b/>
                <w:bCs/>
                <w:color w:val="000000"/>
                <w:sz w:val="20"/>
                <w:szCs w:val="20"/>
              </w:rPr>
            </w:pPr>
            <w:r>
              <w:rPr>
                <w:b/>
                <w:bCs/>
                <w:color w:val="000000"/>
                <w:sz w:val="20"/>
                <w:szCs w:val="20"/>
              </w:rPr>
              <w:t>89341,8</w:t>
            </w:r>
          </w:p>
        </w:tc>
        <w:tc>
          <w:tcPr>
            <w:tcW w:w="792" w:type="dxa"/>
            <w:shd w:val="clear" w:color="auto" w:fill="auto"/>
            <w:vAlign w:val="bottom"/>
          </w:tcPr>
          <w:p>
            <w:pPr>
              <w:jc w:val="right"/>
              <w:rPr>
                <w:b/>
                <w:bCs/>
                <w:color w:val="000000"/>
                <w:sz w:val="20"/>
                <w:szCs w:val="20"/>
              </w:rPr>
            </w:pPr>
            <w:r>
              <w:rPr>
                <w:b/>
                <w:bCs/>
                <w:color w:val="000000"/>
                <w:sz w:val="20"/>
                <w:szCs w:val="20"/>
              </w:rPr>
              <w:t>6,8%</w:t>
            </w:r>
          </w:p>
        </w:tc>
        <w:tc>
          <w:tcPr>
            <w:tcW w:w="1198" w:type="dxa"/>
            <w:shd w:val="clear" w:color="auto" w:fill="auto"/>
            <w:vAlign w:val="bottom"/>
          </w:tcPr>
          <w:p>
            <w:pPr>
              <w:jc w:val="right"/>
              <w:rPr>
                <w:b/>
                <w:bCs/>
                <w:color w:val="000000"/>
                <w:sz w:val="20"/>
                <w:szCs w:val="20"/>
              </w:rPr>
            </w:pPr>
            <w:r>
              <w:rPr>
                <w:b/>
                <w:bCs/>
                <w:color w:val="000000"/>
                <w:sz w:val="20"/>
                <w:szCs w:val="20"/>
              </w:rPr>
              <w:t>1221424,4</w:t>
            </w:r>
          </w:p>
        </w:tc>
        <w:tc>
          <w:tcPr>
            <w:tcW w:w="992" w:type="dxa"/>
            <w:shd w:val="clear" w:color="auto" w:fill="auto"/>
            <w:vAlign w:val="bottom"/>
          </w:tcPr>
          <w:p>
            <w:pPr>
              <w:jc w:val="right"/>
              <w:rPr>
                <w:b/>
                <w:bCs/>
                <w:color w:val="000000"/>
                <w:sz w:val="20"/>
                <w:szCs w:val="20"/>
              </w:rPr>
            </w:pPr>
            <w:r>
              <w:rPr>
                <w:b/>
                <w:bCs/>
                <w:color w:val="000000"/>
                <w:sz w:val="20"/>
                <w:szCs w:val="20"/>
              </w:rPr>
              <w:t>173312,6</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color w:val="000000"/>
          <w:sz w:val="28"/>
          <w:szCs w:val="28"/>
        </w:rPr>
        <w:t>Тепловые сети для транспортировки тепловой энергии от котельных к потребителям, находятся в эксплуатации АО «Одинцовская теплосеть», ООО «МНЗ», ОАО «ВЗОИ», ЗАО «ГТС», ООО «БЗРИ», АО «Ресурс», ООО «УНР-858», СМУ-158, ООО «Теплосервис-М», ООО «Теплоинжсервис», ООО «ТеплоЭнергоСервис», ФГБУ «ЦЖКУ». Система теплоснабжения закрытая.</w:t>
      </w:r>
    </w:p>
    <w:p>
      <w:pPr>
        <w:spacing w:line="360" w:lineRule="auto"/>
        <w:ind w:firstLine="567"/>
        <w:jc w:val="both"/>
        <w:rPr>
          <w:color w:val="000000"/>
          <w:sz w:val="28"/>
          <w:szCs w:val="28"/>
        </w:rPr>
      </w:pPr>
      <w:r>
        <w:rPr>
          <w:color w:val="000000"/>
          <w:sz w:val="28"/>
          <w:szCs w:val="28"/>
        </w:rPr>
        <w:t>Прокладка тепловых сетей - подземная в непроходных каналах, бесканальная, надземная на низких и высоких опорах. В качестве материала для теплоизоляции конструкций трубопроводов используется ППУ и минеральная вата.</w:t>
      </w:r>
    </w:p>
    <w:p>
      <w:pPr>
        <w:spacing w:line="360" w:lineRule="auto"/>
        <w:ind w:firstLine="567"/>
        <w:jc w:val="both"/>
        <w:rPr>
          <w:color w:val="000000"/>
          <w:sz w:val="28"/>
          <w:szCs w:val="28"/>
        </w:rPr>
      </w:pPr>
      <w:r>
        <w:rPr>
          <w:b/>
          <w:color w:val="000000"/>
          <w:sz w:val="28"/>
          <w:szCs w:val="28"/>
        </w:rPr>
        <w:t>АО «Одинцовская теплосеть»</w:t>
      </w:r>
      <w:r>
        <w:rPr>
          <w:color w:val="000000"/>
          <w:sz w:val="28"/>
          <w:szCs w:val="28"/>
        </w:rPr>
        <w:t xml:space="preserve"> производит эксплуатацию, обслуживание и ремонт тепловых сетей протяжённостью: всего 121,152 км в 2-х-трубном исчислении: магистральные – 27,87 км, квартальные – 93,282 км (в том числе сети ГВС – 44,141).</w:t>
      </w:r>
    </w:p>
    <w:p>
      <w:pPr>
        <w:spacing w:line="360" w:lineRule="auto"/>
        <w:ind w:firstLine="567"/>
        <w:jc w:val="both"/>
        <w:rPr>
          <w:color w:val="000000"/>
          <w:sz w:val="28"/>
          <w:szCs w:val="28"/>
        </w:rPr>
      </w:pPr>
      <w:r>
        <w:rPr>
          <w:color w:val="000000"/>
          <w:sz w:val="28"/>
          <w:szCs w:val="28"/>
        </w:rPr>
        <w:t>Преобладающим способом прокладки трубопроводов тепловых сетей является подземный способ, большая часть тепловых сетей введена в эксплуатацию до 1990 года.</w:t>
      </w:r>
    </w:p>
    <w:p>
      <w:pPr>
        <w:spacing w:line="360" w:lineRule="auto"/>
        <w:ind w:firstLine="567"/>
        <w:jc w:val="both"/>
        <w:rPr>
          <w:color w:val="000000"/>
          <w:sz w:val="28"/>
          <w:szCs w:val="28"/>
        </w:rPr>
      </w:pPr>
      <w:r>
        <w:rPr>
          <w:color w:val="000000"/>
          <w:sz w:val="28"/>
          <w:szCs w:val="28"/>
        </w:rPr>
        <w:t>Тепловые камеры всего - порядка 400 ед. (в т.ч. на магистралях - 123 ед.).</w:t>
      </w:r>
    </w:p>
    <w:p>
      <w:pPr>
        <w:spacing w:line="360" w:lineRule="auto"/>
        <w:ind w:firstLine="567"/>
        <w:jc w:val="both"/>
        <w:rPr>
          <w:b/>
          <w:color w:val="000000"/>
          <w:sz w:val="28"/>
          <w:szCs w:val="28"/>
        </w:rPr>
      </w:pPr>
      <w:r>
        <w:rPr>
          <w:b/>
          <w:color w:val="000000"/>
          <w:sz w:val="28"/>
          <w:szCs w:val="28"/>
        </w:rPr>
        <w:t>ООО «МНЗ»</w:t>
      </w:r>
    </w:p>
    <w:p>
      <w:pPr>
        <w:spacing w:line="360" w:lineRule="auto"/>
        <w:ind w:firstLine="567"/>
        <w:jc w:val="both"/>
        <w:rPr>
          <w:color w:val="000000"/>
          <w:sz w:val="28"/>
          <w:szCs w:val="28"/>
        </w:rPr>
      </w:pPr>
      <w:r>
        <w:rPr>
          <w:color w:val="000000"/>
          <w:sz w:val="28"/>
          <w:szCs w:val="28"/>
        </w:rPr>
        <w:t>Общая протяженность тепловых сетей от котельной ООО «МНЗ» составляет 2567 м в двухтрубном исчислении. Диаметры участков трубопроводов тепловых сетей 300 - 50 мм. Прокладка тепловых сетей - подземная канальная/бесканальная, надземная. Материал изоляции трубопроводов – маты минераловатные и ППУ. Год ввода в эксплуатацию тепловых сетей 1989 - 2008.</w:t>
      </w:r>
    </w:p>
    <w:p>
      <w:pPr>
        <w:spacing w:line="360" w:lineRule="auto"/>
        <w:ind w:firstLine="567"/>
        <w:jc w:val="both"/>
        <w:rPr>
          <w:b/>
          <w:color w:val="000000"/>
          <w:sz w:val="28"/>
          <w:szCs w:val="28"/>
        </w:rPr>
      </w:pPr>
      <w:r>
        <w:rPr>
          <w:b/>
          <w:color w:val="000000"/>
          <w:sz w:val="28"/>
          <w:szCs w:val="28"/>
        </w:rPr>
        <w:t>ОАО «ВЗОИ»</w:t>
      </w:r>
    </w:p>
    <w:p>
      <w:pPr>
        <w:spacing w:line="360" w:lineRule="auto"/>
        <w:ind w:firstLine="567"/>
        <w:jc w:val="both"/>
        <w:rPr>
          <w:color w:val="000000"/>
          <w:sz w:val="28"/>
          <w:szCs w:val="28"/>
        </w:rPr>
      </w:pPr>
      <w:r>
        <w:rPr>
          <w:color w:val="000000"/>
          <w:sz w:val="28"/>
          <w:szCs w:val="28"/>
        </w:rPr>
        <w:t>Общая протяженность тепловых сетей ОАО «ВЗОИ» в двухтрубном исчислении равна 10798 м при максимальном диаметре используемых трубопроводов 150 мм. Основная часть тепловых сетей имеет надземную прокладку. Изоляция выполнена при помощи минеральной ваты, трубопроводы находятся в удовлетворительном состоянии.</w:t>
      </w:r>
    </w:p>
    <w:p>
      <w:pPr>
        <w:spacing w:line="360" w:lineRule="auto"/>
        <w:ind w:firstLine="567"/>
        <w:jc w:val="both"/>
        <w:rPr>
          <w:b/>
          <w:color w:val="000000"/>
          <w:sz w:val="28"/>
          <w:szCs w:val="28"/>
        </w:rPr>
      </w:pPr>
      <w:r>
        <w:rPr>
          <w:b/>
          <w:color w:val="000000"/>
          <w:sz w:val="28"/>
          <w:szCs w:val="28"/>
        </w:rPr>
        <w:t>ЗАО «ГТС»</w:t>
      </w:r>
    </w:p>
    <w:p>
      <w:pPr>
        <w:spacing w:line="360" w:lineRule="auto"/>
        <w:ind w:firstLine="567"/>
        <w:jc w:val="both"/>
        <w:rPr>
          <w:color w:val="000000"/>
          <w:sz w:val="28"/>
          <w:szCs w:val="28"/>
        </w:rPr>
      </w:pPr>
      <w:r>
        <w:rPr>
          <w:color w:val="000000"/>
          <w:sz w:val="28"/>
          <w:szCs w:val="28"/>
        </w:rPr>
        <w:t>Теплосети котельной «ул. Чистяковой, 30» проложены подземным способом из стальных труб в ППУ изоляции условными диаметрами 500, 400, 300, 250, 200, 150, 125, 100, 80, 65 мм.</w:t>
      </w:r>
    </w:p>
    <w:p>
      <w:pPr>
        <w:spacing w:line="360" w:lineRule="auto"/>
        <w:ind w:firstLine="567"/>
        <w:jc w:val="both"/>
        <w:rPr>
          <w:color w:val="000000"/>
          <w:sz w:val="28"/>
          <w:szCs w:val="28"/>
        </w:rPr>
      </w:pPr>
      <w:r>
        <w:rPr>
          <w:color w:val="000000"/>
          <w:sz w:val="28"/>
          <w:szCs w:val="28"/>
        </w:rPr>
        <w:t>Глубина заложения труб 1,5-2 м. Общая протяженность тепловой трубопроводов - 16050 м. Год ввода тепловой сети в эксплуатацию – 2004 г.</w:t>
      </w:r>
    </w:p>
    <w:p>
      <w:pPr>
        <w:spacing w:line="360" w:lineRule="auto"/>
        <w:ind w:firstLine="567"/>
        <w:jc w:val="both"/>
        <w:rPr>
          <w:b/>
          <w:color w:val="000000"/>
          <w:sz w:val="28"/>
          <w:szCs w:val="28"/>
        </w:rPr>
      </w:pPr>
      <w:r>
        <w:rPr>
          <w:b/>
          <w:color w:val="000000"/>
          <w:sz w:val="28"/>
          <w:szCs w:val="28"/>
        </w:rPr>
        <w:t>ООО «БЗРИ»</w:t>
      </w:r>
    </w:p>
    <w:p>
      <w:pPr>
        <w:spacing w:line="360" w:lineRule="auto"/>
        <w:ind w:firstLine="567"/>
        <w:jc w:val="both"/>
        <w:rPr>
          <w:color w:val="000000"/>
          <w:sz w:val="28"/>
          <w:szCs w:val="28"/>
        </w:rPr>
      </w:pPr>
      <w:r>
        <w:rPr>
          <w:color w:val="000000"/>
          <w:sz w:val="28"/>
          <w:szCs w:val="28"/>
        </w:rPr>
        <w:t>Теплосеть от котельной ООО «БЗРИ» проложена подземным способом из стальных труб в изоляции из минеральной ваты условными диаметрами 150, 100, 80, 50 мм. Год ввода тепловой сети в эксплуатацию – 1990 г.</w:t>
      </w:r>
    </w:p>
    <w:p>
      <w:pPr>
        <w:spacing w:line="360" w:lineRule="auto"/>
        <w:ind w:firstLine="567"/>
        <w:jc w:val="both"/>
        <w:rPr>
          <w:color w:val="000000"/>
          <w:sz w:val="28"/>
          <w:szCs w:val="28"/>
        </w:rPr>
      </w:pPr>
      <w:r>
        <w:rPr>
          <w:color w:val="000000"/>
          <w:sz w:val="28"/>
          <w:szCs w:val="28"/>
        </w:rPr>
        <w:t>Существующая схема тепловых сетей от котельной позволяет осуществлять достаточно равномерное распределение теплоносителя по всем основным потребителям. Тепловые сети между собой не закольцованы. Техническое состояние тепловых сетей протяженностью 2342 м в 2-х трубном исчислении, удовлетворительное.</w:t>
      </w:r>
    </w:p>
    <w:p>
      <w:pPr>
        <w:spacing w:line="360" w:lineRule="auto"/>
        <w:ind w:firstLine="567"/>
        <w:jc w:val="both"/>
        <w:rPr>
          <w:b/>
          <w:color w:val="000000"/>
          <w:sz w:val="28"/>
          <w:szCs w:val="28"/>
        </w:rPr>
      </w:pPr>
      <w:r>
        <w:rPr>
          <w:b/>
          <w:color w:val="000000"/>
          <w:sz w:val="28"/>
          <w:szCs w:val="28"/>
        </w:rPr>
        <w:t>АО «Ресурс»</w:t>
      </w:r>
    </w:p>
    <w:p>
      <w:pPr>
        <w:spacing w:line="360" w:lineRule="auto"/>
        <w:ind w:firstLine="567"/>
        <w:jc w:val="both"/>
        <w:rPr>
          <w:color w:val="000000"/>
          <w:sz w:val="28"/>
          <w:szCs w:val="28"/>
        </w:rPr>
      </w:pPr>
      <w:r>
        <w:rPr>
          <w:color w:val="000000"/>
          <w:sz w:val="28"/>
          <w:szCs w:val="28"/>
        </w:rPr>
        <w:t>Котельная расположена по адресу п. ВНИИССОК, ул. Михаила Кутузова, 3а. Котельная осуществляет теплоснабжение потребителнй жилого и коммунально-бытового сектора ЖК «Гусарская баллада», расположенного одновременно в двух населённых пунктах (граница поселений разделяет территорию жилого комплекса на две части).</w:t>
      </w:r>
    </w:p>
    <w:p>
      <w:pPr>
        <w:spacing w:line="360" w:lineRule="auto"/>
        <w:ind w:firstLine="567"/>
        <w:jc w:val="both"/>
        <w:rPr>
          <w:color w:val="000000"/>
          <w:sz w:val="28"/>
          <w:szCs w:val="28"/>
        </w:rPr>
      </w:pPr>
      <w:r>
        <w:rPr>
          <w:color w:val="000000"/>
          <w:sz w:val="28"/>
          <w:szCs w:val="28"/>
        </w:rPr>
        <w:t>Система теплоснабжения - закрытая, теплоноситель - вода. Теплоизоляционный материал - пенополиуретан. В целом по предприятию тепловая сеть в г. Одинцово имеет длину 7098,6 м (в однотрубном измерении) и средний диаметр 150 мм.</w:t>
      </w:r>
    </w:p>
    <w:p>
      <w:pPr>
        <w:spacing w:line="360" w:lineRule="auto"/>
        <w:ind w:firstLine="567"/>
        <w:jc w:val="both"/>
        <w:rPr>
          <w:b/>
          <w:color w:val="000000"/>
          <w:sz w:val="28"/>
          <w:szCs w:val="28"/>
        </w:rPr>
      </w:pPr>
      <w:r>
        <w:rPr>
          <w:b/>
          <w:color w:val="000000"/>
          <w:sz w:val="28"/>
          <w:szCs w:val="28"/>
        </w:rPr>
        <w:t>ООО «УНР-858»</w:t>
      </w:r>
    </w:p>
    <w:p>
      <w:pPr>
        <w:spacing w:line="360" w:lineRule="auto"/>
        <w:ind w:firstLine="567"/>
        <w:jc w:val="both"/>
        <w:rPr>
          <w:color w:val="000000"/>
          <w:sz w:val="28"/>
          <w:szCs w:val="28"/>
        </w:rPr>
      </w:pPr>
      <w:r>
        <w:rPr>
          <w:color w:val="000000"/>
          <w:sz w:val="28"/>
          <w:szCs w:val="28"/>
        </w:rPr>
        <w:t>Система теплоснабжения - закрытая, теплоноситель - вода. Теплоизоляционный материал - пенополиуретан. Схема тепловых сетей – двухтрубная.</w:t>
      </w:r>
    </w:p>
    <w:p>
      <w:pPr>
        <w:spacing w:line="360" w:lineRule="auto"/>
        <w:ind w:firstLine="567"/>
        <w:jc w:val="both"/>
        <w:rPr>
          <w:color w:val="000000"/>
          <w:sz w:val="28"/>
          <w:szCs w:val="28"/>
        </w:rPr>
      </w:pPr>
      <w:r>
        <w:rPr>
          <w:color w:val="000000"/>
          <w:sz w:val="28"/>
          <w:szCs w:val="28"/>
        </w:rPr>
        <w:t>Протяжённость тепловой сети от мини-ТЭС до ЦТП «Отрадное» - 61 м в двухтрубном исчислении, условный диаметр прямого и обратного трубопровода – 125 мм.  Тепловые сет от ЦТП «Отрадное» в четырехтрубном исполнении (подающий и обратный трубопроводы системы отопления, подающий и циркуляционный трубопроводы ГВС). Протяженность тепловых сетей от ЦТП «Отрадное» до потребителей тепловой энергии – 790 м в двухтрубном исчислении (в том числе сетей ГВС – 180 м).</w:t>
      </w:r>
    </w:p>
    <w:p>
      <w:pPr>
        <w:spacing w:line="360" w:lineRule="auto"/>
        <w:ind w:firstLine="567"/>
        <w:jc w:val="both"/>
        <w:rPr>
          <w:b/>
          <w:color w:val="000000"/>
          <w:sz w:val="28"/>
          <w:szCs w:val="28"/>
        </w:rPr>
      </w:pPr>
      <w:r>
        <w:rPr>
          <w:b/>
          <w:color w:val="000000"/>
          <w:sz w:val="28"/>
          <w:szCs w:val="28"/>
        </w:rPr>
        <w:t>СМУ-158</w:t>
      </w:r>
    </w:p>
    <w:p>
      <w:pPr>
        <w:spacing w:line="360" w:lineRule="auto"/>
        <w:ind w:firstLine="567"/>
        <w:jc w:val="both"/>
        <w:rPr>
          <w:color w:val="000000"/>
          <w:sz w:val="28"/>
          <w:szCs w:val="28"/>
        </w:rPr>
      </w:pPr>
      <w:r>
        <w:rPr>
          <w:color w:val="000000"/>
          <w:sz w:val="28"/>
          <w:szCs w:val="28"/>
        </w:rPr>
        <w:t>Система теплоснабжения - закрытая, теплоноситель - вода. Информация о протяженности тепловых сетей и технических характеристиках трубопроводов тепловых сетей – отсутствует.</w:t>
      </w:r>
    </w:p>
    <w:p>
      <w:pPr>
        <w:spacing w:line="360" w:lineRule="auto"/>
        <w:ind w:firstLine="567"/>
        <w:jc w:val="both"/>
        <w:rPr>
          <w:b/>
          <w:color w:val="000000"/>
          <w:sz w:val="28"/>
          <w:szCs w:val="28"/>
        </w:rPr>
      </w:pPr>
      <w:r>
        <w:rPr>
          <w:b/>
          <w:color w:val="000000"/>
          <w:sz w:val="28"/>
          <w:szCs w:val="28"/>
        </w:rPr>
        <w:t>ООО «Теплоинжсервис» - теплосетевая организация</w:t>
      </w:r>
    </w:p>
    <w:p>
      <w:pPr>
        <w:spacing w:line="360" w:lineRule="auto"/>
        <w:ind w:firstLine="567"/>
        <w:jc w:val="both"/>
        <w:rPr>
          <w:color w:val="000000"/>
          <w:sz w:val="28"/>
          <w:szCs w:val="28"/>
        </w:rPr>
      </w:pPr>
      <w:r>
        <w:rPr>
          <w:color w:val="000000"/>
          <w:sz w:val="28"/>
          <w:szCs w:val="28"/>
        </w:rPr>
        <w:t>На балансе 4 трубы общей протяженностью 50,0 м.</w:t>
      </w:r>
    </w:p>
    <w:p>
      <w:pPr>
        <w:spacing w:line="360" w:lineRule="auto"/>
        <w:ind w:firstLine="567"/>
        <w:jc w:val="both"/>
        <w:rPr>
          <w:b/>
          <w:color w:val="000000"/>
          <w:sz w:val="28"/>
          <w:szCs w:val="28"/>
        </w:rPr>
      </w:pPr>
      <w:r>
        <w:rPr>
          <w:b/>
          <w:color w:val="000000"/>
          <w:sz w:val="28"/>
          <w:szCs w:val="28"/>
        </w:rPr>
        <w:t>ООО «Теплосервис-М»</w:t>
      </w:r>
    </w:p>
    <w:p>
      <w:pPr>
        <w:spacing w:line="360" w:lineRule="auto"/>
        <w:ind w:firstLine="567"/>
        <w:jc w:val="both"/>
        <w:rPr>
          <w:color w:val="000000"/>
          <w:sz w:val="28"/>
          <w:szCs w:val="28"/>
        </w:rPr>
      </w:pPr>
      <w:r>
        <w:rPr>
          <w:color w:val="000000"/>
          <w:sz w:val="28"/>
          <w:szCs w:val="28"/>
        </w:rPr>
        <w:t>Теплосети БМК «Импульс» проложены подземным способом из стальных труб в ППУ изоляции условными диаметрами 400, 300, 250, 200, 150, 125, 100, 80, 50, 40, 32 мм. Тепловые сети – двухтрубные. Общая протяженность трубопроводов тепловых сетей – 1404,36 м в двухтрубном исчислении. Год ввода тепловой сети в эксплуатацию – 2017 г.</w:t>
      </w:r>
    </w:p>
    <w:p>
      <w:pPr>
        <w:spacing w:line="360" w:lineRule="auto"/>
        <w:ind w:firstLine="567"/>
        <w:jc w:val="both"/>
        <w:rPr>
          <w:b/>
          <w:color w:val="000000"/>
          <w:sz w:val="28"/>
          <w:szCs w:val="28"/>
        </w:rPr>
      </w:pPr>
      <w:r>
        <w:rPr>
          <w:b/>
          <w:color w:val="000000"/>
          <w:sz w:val="28"/>
          <w:szCs w:val="28"/>
        </w:rPr>
        <w:t>ООО «ТеплоЭнергоСервис»</w:t>
      </w:r>
    </w:p>
    <w:p>
      <w:pPr>
        <w:spacing w:line="360" w:lineRule="auto"/>
        <w:ind w:firstLine="567"/>
        <w:jc w:val="both"/>
        <w:rPr>
          <w:color w:val="000000"/>
          <w:sz w:val="28"/>
          <w:szCs w:val="28"/>
        </w:rPr>
      </w:pPr>
      <w:r>
        <w:rPr>
          <w:color w:val="000000"/>
          <w:sz w:val="28"/>
          <w:szCs w:val="28"/>
        </w:rPr>
        <w:t>Теплосети котельной мкр. Немчиновка проложены подземным способом из стальных труб в ППУ изоляции условными диаметрами 500, 400, 250, 150, 125, 100, 80, 70, 50 мм. Общая протяженность тепловой трубопроводов – 1378,1 м в двухтрубном исчислении. Средний диаметр – 226 мм. Год ввода тепловой сети в эксплуатацию – 2011 г.</w:t>
      </w:r>
    </w:p>
    <w:p>
      <w:pPr>
        <w:spacing w:line="360" w:lineRule="auto"/>
        <w:ind w:firstLine="567"/>
        <w:jc w:val="both"/>
        <w:rPr>
          <w:b/>
          <w:color w:val="000000"/>
          <w:sz w:val="28"/>
          <w:szCs w:val="28"/>
        </w:rPr>
      </w:pPr>
      <w:r>
        <w:rPr>
          <w:b/>
          <w:color w:val="000000"/>
          <w:sz w:val="28"/>
          <w:szCs w:val="28"/>
        </w:rPr>
        <w:t>ФГБУ «ЦЖКУ»</w:t>
      </w:r>
    </w:p>
    <w:p>
      <w:pPr>
        <w:spacing w:line="360" w:lineRule="auto"/>
        <w:ind w:firstLine="567"/>
        <w:jc w:val="both"/>
        <w:rPr>
          <w:color w:val="000000"/>
          <w:sz w:val="28"/>
          <w:szCs w:val="28"/>
        </w:rPr>
      </w:pPr>
      <w:r>
        <w:rPr>
          <w:color w:val="000000"/>
          <w:sz w:val="28"/>
          <w:szCs w:val="28"/>
        </w:rPr>
        <w:t>Теплосети котельной в/г №20 проложены подземным способом из стальных труб в ППУ изоляции условными диаметрами 250, 200, 150, 125, 100, 80, 50, 40, 25, 20 мм. Общая протяженность тепловой трубопроводов – 2039,5 в двухтрубном исчислении. Средний диаметр – 84 мм. Год ввода тепловой сети в эксплуатацию – 2015 г.</w:t>
      </w:r>
    </w:p>
    <w:p>
      <w:pPr>
        <w:spacing w:line="360" w:lineRule="auto"/>
        <w:ind w:firstLine="567"/>
        <w:jc w:val="both"/>
        <w:rPr>
          <w:color w:val="000000"/>
          <w:sz w:val="28"/>
          <w:szCs w:val="28"/>
        </w:rPr>
      </w:pPr>
      <w:r>
        <w:rPr>
          <w:color w:val="000000"/>
          <w:sz w:val="28"/>
          <w:szCs w:val="28"/>
        </w:rPr>
        <w:t xml:space="preserve">Статистика отказов тепловых сетей (аварий, инцидентов) АО «Одинцовская теплосеть» в период 2015-2017 гг. – </w:t>
      </w:r>
      <w:r>
        <w:rPr>
          <w:b/>
          <w:color w:val="000000"/>
          <w:sz w:val="28"/>
          <w:szCs w:val="28"/>
        </w:rPr>
        <w:t>34, 37 и 88</w:t>
      </w:r>
      <w:r>
        <w:rPr>
          <w:color w:val="000000"/>
          <w:sz w:val="28"/>
          <w:szCs w:val="28"/>
        </w:rPr>
        <w:t xml:space="preserve"> случаев</w:t>
      </w:r>
    </w:p>
    <w:p>
      <w:pPr>
        <w:spacing w:line="360" w:lineRule="auto"/>
        <w:ind w:firstLine="567"/>
        <w:jc w:val="both"/>
        <w:rPr>
          <w:color w:val="000000"/>
          <w:sz w:val="28"/>
          <w:szCs w:val="28"/>
        </w:rPr>
      </w:pPr>
      <w:r>
        <w:rPr>
          <w:color w:val="000000"/>
          <w:sz w:val="28"/>
          <w:szCs w:val="28"/>
        </w:rPr>
        <w:t>По данным, предоставленным остальными организациями, занятыми в сфере теплоснабжения «ТУ Одинцово», серьезных аварий на тепловых сетях, связанных с прекращением подачи тепла потребителям тепловой энергии, в отопительный период 2017-2018 гг. - не происходило.</w:t>
      </w:r>
    </w:p>
    <w:p>
      <w:pPr>
        <w:spacing w:line="360" w:lineRule="auto"/>
        <w:ind w:firstLine="567"/>
        <w:jc w:val="both"/>
        <w:rPr>
          <w:color w:val="000000"/>
          <w:sz w:val="28"/>
          <w:szCs w:val="28"/>
        </w:rPr>
      </w:pPr>
      <w:r>
        <w:rPr>
          <w:color w:val="000000"/>
          <w:sz w:val="28"/>
          <w:szCs w:val="28"/>
        </w:rPr>
        <w:t>Суммарные присоединенные договорные тепловые нагрузки с распределением по организациям, занятым в сфере теплоснабжения «ТУ Одинцово» представлены в таблице 2.1-3.</w:t>
      </w:r>
    </w:p>
    <w:p>
      <w:pPr>
        <w:autoSpaceDE w:val="0"/>
        <w:autoSpaceDN w:val="0"/>
        <w:adjustRightInd w:val="0"/>
        <w:rPr>
          <w:rFonts w:eastAsia="Calibri"/>
          <w:b/>
          <w:bCs/>
          <w:color w:val="000000"/>
          <w:sz w:val="28"/>
          <w:szCs w:val="28"/>
        </w:rPr>
      </w:pPr>
      <w:r>
        <w:rPr>
          <w:rFonts w:eastAsia="Calibri"/>
          <w:b/>
          <w:bCs/>
          <w:color w:val="000000"/>
          <w:sz w:val="28"/>
          <w:szCs w:val="28"/>
        </w:rPr>
        <w:t>Таблица 2.1-3. Суммарные присоединенные договорные тепловые нагрузки по теплоснабжающим организациям</w:t>
      </w:r>
    </w:p>
    <w:tbl>
      <w:tblPr>
        <w:tblStyle w:val="100"/>
        <w:tblW w:w="57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3681" w:type="dxa"/>
            <w:shd w:val="clear" w:color="auto" w:fill="auto"/>
            <w:vAlign w:val="center"/>
          </w:tcPr>
          <w:p>
            <w:pPr>
              <w:jc w:val="center"/>
              <w:rPr>
                <w:b/>
                <w:bCs/>
                <w:color w:val="000000"/>
                <w:sz w:val="22"/>
                <w:szCs w:val="22"/>
              </w:rPr>
            </w:pPr>
            <w:r>
              <w:rPr>
                <w:b/>
                <w:bCs/>
                <w:color w:val="000000"/>
                <w:sz w:val="22"/>
                <w:szCs w:val="22"/>
              </w:rPr>
              <w:t>Наименование организации</w:t>
            </w:r>
          </w:p>
        </w:tc>
        <w:tc>
          <w:tcPr>
            <w:tcW w:w="2035" w:type="dxa"/>
            <w:shd w:val="clear" w:color="auto" w:fill="auto"/>
            <w:vAlign w:val="center"/>
          </w:tcPr>
          <w:p>
            <w:pPr>
              <w:jc w:val="center"/>
              <w:rPr>
                <w:b/>
                <w:bCs/>
                <w:color w:val="000000"/>
                <w:sz w:val="22"/>
                <w:szCs w:val="22"/>
              </w:rPr>
            </w:pPr>
            <w:r>
              <w:rPr>
                <w:b/>
                <w:bCs/>
                <w:color w:val="000000"/>
                <w:sz w:val="22"/>
                <w:szCs w:val="22"/>
              </w:rPr>
              <w:t>Суммарная договорная нагрузка, Гкал/ч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ОА "Одинцовская теплосеть"</w:t>
            </w:r>
          </w:p>
        </w:tc>
        <w:tc>
          <w:tcPr>
            <w:tcW w:w="2035" w:type="dxa"/>
            <w:shd w:val="clear" w:color="auto" w:fill="auto"/>
            <w:vAlign w:val="bottom"/>
          </w:tcPr>
          <w:p>
            <w:pPr>
              <w:jc w:val="right"/>
              <w:rPr>
                <w:color w:val="000000"/>
                <w:sz w:val="22"/>
                <w:szCs w:val="22"/>
              </w:rPr>
            </w:pPr>
            <w:r>
              <w:rPr>
                <w:color w:val="000000"/>
                <w:sz w:val="22"/>
                <w:szCs w:val="22"/>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ООО "МНЗ"</w:t>
            </w:r>
          </w:p>
        </w:tc>
        <w:tc>
          <w:tcPr>
            <w:tcW w:w="2035" w:type="dxa"/>
            <w:shd w:val="clear" w:color="auto" w:fill="auto"/>
            <w:vAlign w:val="bottom"/>
          </w:tcPr>
          <w:p>
            <w:pPr>
              <w:jc w:val="right"/>
              <w:rPr>
                <w:color w:val="000000"/>
                <w:sz w:val="22"/>
                <w:szCs w:val="22"/>
              </w:rPr>
            </w:pPr>
            <w:r>
              <w:rPr>
                <w:color w:val="000000"/>
                <w:sz w:val="22"/>
                <w:szCs w:val="22"/>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ОАО "ВЗОИ"</w:t>
            </w:r>
          </w:p>
        </w:tc>
        <w:tc>
          <w:tcPr>
            <w:tcW w:w="2035" w:type="dxa"/>
            <w:shd w:val="clear" w:color="auto" w:fill="auto"/>
            <w:vAlign w:val="bottom"/>
          </w:tcPr>
          <w:p>
            <w:pPr>
              <w:jc w:val="right"/>
              <w:rPr>
                <w:color w:val="000000"/>
                <w:sz w:val="22"/>
                <w:szCs w:val="22"/>
              </w:rPr>
            </w:pPr>
            <w:r>
              <w:rPr>
                <w:color w:val="000000"/>
                <w:sz w:val="22"/>
                <w:szCs w:val="22"/>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ЗАО "ГТС"</w:t>
            </w:r>
          </w:p>
        </w:tc>
        <w:tc>
          <w:tcPr>
            <w:tcW w:w="2035" w:type="dxa"/>
            <w:shd w:val="clear" w:color="auto" w:fill="auto"/>
            <w:vAlign w:val="bottom"/>
          </w:tcPr>
          <w:p>
            <w:pPr>
              <w:jc w:val="right"/>
              <w:rPr>
                <w:color w:val="000000"/>
                <w:sz w:val="22"/>
                <w:szCs w:val="22"/>
              </w:rPr>
            </w:pPr>
            <w:r>
              <w:rPr>
                <w:color w:val="000000"/>
                <w:sz w:val="22"/>
                <w:szCs w:val="22"/>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ООО "БЗРИ"</w:t>
            </w:r>
          </w:p>
        </w:tc>
        <w:tc>
          <w:tcPr>
            <w:tcW w:w="2035" w:type="dxa"/>
            <w:shd w:val="clear" w:color="auto" w:fill="auto"/>
            <w:vAlign w:val="bottom"/>
          </w:tcPr>
          <w:p>
            <w:pPr>
              <w:jc w:val="right"/>
              <w:rPr>
                <w:color w:val="000000"/>
                <w:sz w:val="22"/>
                <w:szCs w:val="22"/>
              </w:rPr>
            </w:pPr>
            <w:r>
              <w:rPr>
                <w:color w:val="000000"/>
                <w:sz w:val="22"/>
                <w:szCs w:val="22"/>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АО "Ресурс"</w:t>
            </w:r>
          </w:p>
        </w:tc>
        <w:tc>
          <w:tcPr>
            <w:tcW w:w="2035" w:type="dxa"/>
            <w:shd w:val="clear" w:color="auto" w:fill="auto"/>
            <w:vAlign w:val="bottom"/>
          </w:tcPr>
          <w:p>
            <w:pPr>
              <w:jc w:val="right"/>
              <w:rPr>
                <w:color w:val="000000"/>
                <w:sz w:val="22"/>
                <w:szCs w:val="22"/>
              </w:rPr>
            </w:pPr>
            <w:r>
              <w:rPr>
                <w:color w:val="000000"/>
                <w:sz w:val="22"/>
                <w:szCs w:val="22"/>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СМУ-158</w:t>
            </w:r>
          </w:p>
        </w:tc>
        <w:tc>
          <w:tcPr>
            <w:tcW w:w="2035" w:type="dxa"/>
            <w:shd w:val="clear" w:color="auto" w:fill="auto"/>
            <w:vAlign w:val="bottom"/>
          </w:tcPr>
          <w:p>
            <w:pPr>
              <w:jc w:val="right"/>
              <w:rPr>
                <w:color w:val="000000"/>
                <w:sz w:val="22"/>
                <w:szCs w:val="22"/>
              </w:rPr>
            </w:pPr>
            <w:r>
              <w:rPr>
                <w:color w:val="000000"/>
                <w:sz w:val="22"/>
                <w:szCs w:val="22"/>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ООО "УНР-858"</w:t>
            </w:r>
          </w:p>
        </w:tc>
        <w:tc>
          <w:tcPr>
            <w:tcW w:w="2035" w:type="dxa"/>
            <w:shd w:val="clear" w:color="auto" w:fill="auto"/>
            <w:vAlign w:val="bottom"/>
          </w:tcPr>
          <w:p>
            <w:pPr>
              <w:jc w:val="right"/>
              <w:rPr>
                <w:color w:val="000000"/>
                <w:sz w:val="22"/>
                <w:szCs w:val="22"/>
              </w:rPr>
            </w:pPr>
            <w:r>
              <w:rPr>
                <w:color w:val="000000"/>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ООО "Теплосрвис-М"</w:t>
            </w:r>
          </w:p>
        </w:tc>
        <w:tc>
          <w:tcPr>
            <w:tcW w:w="2035" w:type="dxa"/>
            <w:shd w:val="clear" w:color="auto" w:fill="auto"/>
            <w:vAlign w:val="bottom"/>
          </w:tcPr>
          <w:p>
            <w:pPr>
              <w:jc w:val="right"/>
              <w:rPr>
                <w:color w:val="000000"/>
                <w:sz w:val="22"/>
                <w:szCs w:val="22"/>
              </w:rPr>
            </w:pPr>
            <w:r>
              <w:rPr>
                <w:color w:val="000000"/>
                <w:sz w:val="22"/>
                <w:szCs w:val="22"/>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ООО "ТэплоЭнергоСервис"</w:t>
            </w:r>
          </w:p>
        </w:tc>
        <w:tc>
          <w:tcPr>
            <w:tcW w:w="2035" w:type="dxa"/>
            <w:shd w:val="clear" w:color="auto" w:fill="auto"/>
            <w:vAlign w:val="bottom"/>
          </w:tcPr>
          <w:p>
            <w:pPr>
              <w:jc w:val="right"/>
              <w:rPr>
                <w:color w:val="000000"/>
                <w:sz w:val="22"/>
                <w:szCs w:val="22"/>
              </w:rPr>
            </w:pPr>
            <w:r>
              <w:rPr>
                <w:color w:val="000000"/>
                <w:sz w:val="22"/>
                <w:szCs w:val="22"/>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color w:val="000000"/>
                <w:sz w:val="22"/>
                <w:szCs w:val="22"/>
              </w:rPr>
            </w:pPr>
            <w:r>
              <w:rPr>
                <w:color w:val="000000"/>
                <w:sz w:val="22"/>
                <w:szCs w:val="22"/>
              </w:rPr>
              <w:t>ФГБУ "ЦЖКУ"</w:t>
            </w:r>
          </w:p>
        </w:tc>
        <w:tc>
          <w:tcPr>
            <w:tcW w:w="2035" w:type="dxa"/>
            <w:shd w:val="clear" w:color="auto" w:fill="auto"/>
            <w:vAlign w:val="bottom"/>
          </w:tcPr>
          <w:p>
            <w:pPr>
              <w:jc w:val="right"/>
              <w:rPr>
                <w:color w:val="000000"/>
                <w:sz w:val="22"/>
                <w:szCs w:val="22"/>
              </w:rPr>
            </w:pPr>
            <w:r>
              <w:rPr>
                <w:color w:val="00000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3681" w:type="dxa"/>
            <w:shd w:val="clear" w:color="auto" w:fill="auto"/>
            <w:vAlign w:val="bottom"/>
          </w:tcPr>
          <w:p>
            <w:pPr>
              <w:rPr>
                <w:b/>
                <w:bCs/>
                <w:color w:val="000000"/>
                <w:sz w:val="22"/>
                <w:szCs w:val="22"/>
              </w:rPr>
            </w:pPr>
            <w:r>
              <w:rPr>
                <w:b/>
                <w:bCs/>
                <w:color w:val="000000"/>
                <w:sz w:val="22"/>
                <w:szCs w:val="22"/>
              </w:rPr>
              <w:t>ВСЕГО</w:t>
            </w:r>
          </w:p>
        </w:tc>
        <w:tc>
          <w:tcPr>
            <w:tcW w:w="2035" w:type="dxa"/>
            <w:shd w:val="clear" w:color="auto" w:fill="auto"/>
            <w:vAlign w:val="bottom"/>
          </w:tcPr>
          <w:p>
            <w:pPr>
              <w:jc w:val="right"/>
              <w:rPr>
                <w:b/>
                <w:bCs/>
                <w:color w:val="000000"/>
                <w:sz w:val="22"/>
                <w:szCs w:val="22"/>
              </w:rPr>
            </w:pPr>
            <w:r>
              <w:rPr>
                <w:b/>
                <w:bCs/>
                <w:color w:val="000000"/>
                <w:sz w:val="22"/>
                <w:szCs w:val="22"/>
              </w:rPr>
              <w:t>601,7</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color w:val="000000"/>
          <w:sz w:val="28"/>
          <w:szCs w:val="28"/>
        </w:rPr>
        <w:t>Крупнейшим поставщиком тепловой энергии «ТУ Одинцово» является АО «Одинцовская теплосеть» (покрытие порядка 73,02 % всех тепловых нагрузок системы теплоснабжения «ТУ Одинцово»).</w:t>
      </w:r>
    </w:p>
    <w:p>
      <w:pPr>
        <w:spacing w:line="360" w:lineRule="auto"/>
        <w:ind w:firstLine="567"/>
        <w:jc w:val="both"/>
        <w:rPr>
          <w:color w:val="000000"/>
          <w:sz w:val="28"/>
          <w:szCs w:val="28"/>
        </w:rPr>
      </w:pPr>
      <w:r>
        <w:rPr>
          <w:color w:val="000000"/>
          <w:sz w:val="28"/>
          <w:szCs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pPr>
        <w:spacing w:line="360" w:lineRule="auto"/>
        <w:ind w:firstLine="567"/>
        <w:jc w:val="both"/>
        <w:rPr>
          <w:color w:val="000000"/>
          <w:sz w:val="28"/>
          <w:szCs w:val="28"/>
        </w:rPr>
      </w:pPr>
      <w:r>
        <w:rPr>
          <w:color w:val="000000"/>
          <w:sz w:val="28"/>
          <w:szCs w:val="28"/>
        </w:rPr>
        <w:t>На момент разработки Программы в базовый период плата за подключение к централизованным тепловым сетям систем теплоснабжения ресурсоснабжающих организаций, деятельность которых производиться на территории «ТУ Одинцово», была установлена в соответствии с пунктом 26 распоряжения Комитета по ценам и тарифам Московской области №317-Р от 20.12.2017 (см. таблицу 2.1-4).</w:t>
      </w:r>
    </w:p>
    <w:p>
      <w:pPr>
        <w:spacing w:line="360" w:lineRule="auto"/>
        <w:ind w:firstLine="567"/>
        <w:jc w:val="both"/>
        <w:rPr>
          <w:color w:val="000000"/>
          <w:sz w:val="28"/>
          <w:szCs w:val="28"/>
        </w:rPr>
      </w:pPr>
    </w:p>
    <w:p>
      <w:pPr>
        <w:spacing w:line="360" w:lineRule="auto"/>
        <w:ind w:firstLine="567"/>
        <w:jc w:val="both"/>
        <w:rPr>
          <w:color w:val="000000"/>
          <w:sz w:val="28"/>
          <w:szCs w:val="28"/>
        </w:rPr>
      </w:pPr>
    </w:p>
    <w:p>
      <w:pPr>
        <w:spacing w:line="360" w:lineRule="auto"/>
        <w:ind w:firstLine="567"/>
        <w:jc w:val="both"/>
        <w:rPr>
          <w:color w:val="000000"/>
          <w:sz w:val="28"/>
          <w:szCs w:val="28"/>
        </w:rPr>
      </w:pPr>
    </w:p>
    <w:p>
      <w:pPr>
        <w:autoSpaceDE w:val="0"/>
        <w:autoSpaceDN w:val="0"/>
        <w:adjustRightInd w:val="0"/>
        <w:rPr>
          <w:rFonts w:eastAsia="Calibri"/>
          <w:b/>
          <w:bCs/>
          <w:color w:val="000000"/>
          <w:sz w:val="28"/>
          <w:szCs w:val="28"/>
        </w:rPr>
      </w:pPr>
      <w:r>
        <w:rPr>
          <w:rFonts w:eastAsia="Calibri"/>
          <w:b/>
          <w:bCs/>
          <w:color w:val="000000"/>
          <w:sz w:val="28"/>
          <w:szCs w:val="28"/>
        </w:rPr>
        <w:t>Таблица 2.1-4. Плата за подключение объектов заявителей в 2018 году</w:t>
      </w:r>
    </w:p>
    <w:p>
      <w:pPr>
        <w:spacing w:line="360" w:lineRule="auto"/>
        <w:jc w:val="center"/>
        <w:rPr>
          <w:color w:val="000000"/>
          <w:sz w:val="28"/>
          <w:szCs w:val="28"/>
        </w:rPr>
      </w:pPr>
      <w:r>
        <w:rPr>
          <w:color w:val="000000"/>
          <w:sz w:val="28"/>
          <w:szCs w:val="28"/>
        </w:rPr>
        <w:drawing>
          <wp:inline distT="0" distB="0" distL="0" distR="0">
            <wp:extent cx="5940425" cy="37668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0425" cy="3766820"/>
                    </a:xfrm>
                    <a:prstGeom prst="rect">
                      <a:avLst/>
                    </a:prstGeom>
                  </pic:spPr>
                </pic:pic>
              </a:graphicData>
            </a:graphic>
          </wp:inline>
        </w:drawing>
      </w:r>
    </w:p>
    <w:p>
      <w:pPr>
        <w:spacing w:line="360" w:lineRule="auto"/>
        <w:ind w:firstLine="567"/>
        <w:jc w:val="both"/>
        <w:rPr>
          <w:color w:val="000000"/>
          <w:sz w:val="28"/>
          <w:szCs w:val="28"/>
        </w:rPr>
      </w:pPr>
      <w:r>
        <w:rPr>
          <w:color w:val="000000"/>
          <w:sz w:val="28"/>
          <w:szCs w:val="28"/>
        </w:rPr>
        <w:t>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«ТУ Одинцово» Комитетом по ценам и тарифам Московской области не устанавливалась.</w:t>
      </w:r>
    </w:p>
    <w:p>
      <w:pPr>
        <w:spacing w:line="360" w:lineRule="auto"/>
        <w:ind w:firstLine="567"/>
        <w:jc w:val="both"/>
        <w:rPr>
          <w:color w:val="000000"/>
          <w:sz w:val="28"/>
          <w:szCs w:val="28"/>
        </w:rPr>
      </w:pPr>
      <w:r>
        <w:rPr>
          <w:color w:val="000000"/>
          <w:sz w:val="28"/>
          <w:szCs w:val="28"/>
        </w:rPr>
        <w:t>Несмотря на то, что теплоснабжение в городе Одинцово и населённых пунктах «ТУ Одинцово» устойчиво и надёжно, для выведения систем теплоснабжения на более экономичный режим требуется решить ряд технических вопросов.</w:t>
      </w:r>
    </w:p>
    <w:p>
      <w:pPr>
        <w:spacing w:line="360" w:lineRule="auto"/>
        <w:ind w:firstLine="567"/>
        <w:jc w:val="both"/>
        <w:rPr>
          <w:color w:val="000000"/>
          <w:sz w:val="28"/>
          <w:szCs w:val="28"/>
        </w:rPr>
      </w:pPr>
      <w:r>
        <w:rPr>
          <w:color w:val="000000"/>
          <w:sz w:val="28"/>
          <w:szCs w:val="28"/>
        </w:rPr>
        <w:t>В целом установленная мощность котельного оборудования составляет 767,809 Гкал/ч. Однако по котельным №№2, 3, 4, 6, 8, 8а и СМУ-158 существует дефицит мощности.</w:t>
      </w:r>
    </w:p>
    <w:p>
      <w:pPr>
        <w:spacing w:line="360" w:lineRule="auto"/>
        <w:ind w:firstLine="567"/>
        <w:jc w:val="both"/>
        <w:rPr>
          <w:color w:val="000000"/>
          <w:sz w:val="28"/>
          <w:szCs w:val="28"/>
        </w:rPr>
      </w:pPr>
      <w:r>
        <w:rPr>
          <w:color w:val="000000"/>
          <w:sz w:val="28"/>
          <w:szCs w:val="28"/>
        </w:rPr>
        <w:t>Наиболее важной проблемой является отсутствие приборов учета тепловой энергии на источниках. Необходимость установки приборов учета тепловой энергии на источниках диктуется ФЗ «Об энергосбережении и о повышении энергетической эффективности» №261 от 23.11.2009.</w:t>
      </w:r>
    </w:p>
    <w:p>
      <w:pPr>
        <w:spacing w:line="360" w:lineRule="auto"/>
        <w:ind w:firstLine="567"/>
        <w:jc w:val="both"/>
        <w:rPr>
          <w:color w:val="000000"/>
          <w:sz w:val="28"/>
          <w:szCs w:val="28"/>
        </w:rPr>
      </w:pPr>
      <w:r>
        <w:rPr>
          <w:color w:val="000000"/>
          <w:sz w:val="28"/>
          <w:szCs w:val="28"/>
        </w:rPr>
        <w:t>Отсутствие приборов учета тепловой энергии у потребителей, не стимулирует теплоснабжающие организации к приведению системы теплоснабжения в соответствие с нормативными требованиями.</w:t>
      </w:r>
    </w:p>
    <w:p>
      <w:pPr>
        <w:spacing w:line="360" w:lineRule="auto"/>
        <w:ind w:firstLine="567"/>
        <w:jc w:val="both"/>
        <w:rPr>
          <w:color w:val="000000"/>
          <w:sz w:val="28"/>
          <w:szCs w:val="28"/>
        </w:rPr>
      </w:pPr>
      <w:r>
        <w:rPr>
          <w:color w:val="000000"/>
          <w:sz w:val="28"/>
          <w:szCs w:val="28"/>
        </w:rPr>
        <w:t>Отсутствие резервного топлива на водогрейных котельных отрицательно скажется на надежности теплоснабжения потребителей в случае перебоев с поставкой основного топлива.</w:t>
      </w:r>
    </w:p>
    <w:p>
      <w:pPr>
        <w:spacing w:line="360" w:lineRule="auto"/>
        <w:ind w:firstLine="567"/>
        <w:jc w:val="both"/>
        <w:rPr>
          <w:color w:val="000000"/>
          <w:sz w:val="28"/>
          <w:szCs w:val="28"/>
        </w:rPr>
      </w:pPr>
      <w:r>
        <w:rPr>
          <w:color w:val="000000"/>
          <w:sz w:val="28"/>
          <w:szCs w:val="28"/>
        </w:rPr>
        <w:t>Реконструкцию теплоснабжающей инфраструктуры целесообразно проводить в 3-х направлениях:</w:t>
      </w:r>
    </w:p>
    <w:p>
      <w:pPr>
        <w:pStyle w:val="154"/>
        <w:numPr>
          <w:ilvl w:val="0"/>
          <w:numId w:val="43"/>
        </w:numPr>
        <w:spacing w:line="360" w:lineRule="auto"/>
        <w:ind w:left="567" w:firstLine="0"/>
        <w:jc w:val="both"/>
        <w:rPr>
          <w:color w:val="000000"/>
          <w:sz w:val="28"/>
          <w:szCs w:val="28"/>
        </w:rPr>
      </w:pPr>
      <w:r>
        <w:rPr>
          <w:color w:val="000000"/>
          <w:sz w:val="28"/>
          <w:szCs w:val="28"/>
        </w:rPr>
        <w:t>вывод из эксплуатации существующих малоэффективных источников тепловой энергии;</w:t>
      </w:r>
    </w:p>
    <w:p>
      <w:pPr>
        <w:pStyle w:val="154"/>
        <w:numPr>
          <w:ilvl w:val="0"/>
          <w:numId w:val="43"/>
        </w:numPr>
        <w:spacing w:line="360" w:lineRule="auto"/>
        <w:ind w:left="567" w:firstLine="0"/>
        <w:jc w:val="both"/>
        <w:rPr>
          <w:color w:val="000000"/>
          <w:sz w:val="28"/>
          <w:szCs w:val="28"/>
        </w:rPr>
      </w:pPr>
      <w:r>
        <w:rPr>
          <w:color w:val="000000"/>
          <w:sz w:val="28"/>
          <w:szCs w:val="28"/>
        </w:rPr>
        <w:t>реконструкцию тепловых сетей с доведением их мощностей до проектных значений;</w:t>
      </w:r>
    </w:p>
    <w:p>
      <w:pPr>
        <w:pStyle w:val="154"/>
        <w:numPr>
          <w:ilvl w:val="0"/>
          <w:numId w:val="43"/>
        </w:numPr>
        <w:spacing w:line="360" w:lineRule="auto"/>
        <w:ind w:left="567" w:firstLine="0"/>
        <w:jc w:val="both"/>
        <w:rPr>
          <w:color w:val="000000"/>
          <w:sz w:val="28"/>
          <w:szCs w:val="28"/>
        </w:rPr>
      </w:pPr>
      <w:r>
        <w:rPr>
          <w:color w:val="000000"/>
          <w:sz w:val="28"/>
          <w:szCs w:val="28"/>
        </w:rPr>
        <w:t>реконструкцию теплопотребляющих установок.</w:t>
      </w:r>
    </w:p>
    <w:p>
      <w:pPr>
        <w:spacing w:line="360" w:lineRule="auto"/>
        <w:ind w:firstLine="567"/>
        <w:jc w:val="both"/>
        <w:rPr>
          <w:color w:val="000000"/>
          <w:sz w:val="28"/>
          <w:szCs w:val="28"/>
        </w:rPr>
      </w:pPr>
      <w:r>
        <w:rPr>
          <w:color w:val="000000"/>
          <w:sz w:val="28"/>
          <w:szCs w:val="28"/>
        </w:rPr>
        <w:t>На многих участках тепловых сетей отсутствует регулирующие шайбы, что приводит к нерациональному распределению воды между потребителями тепловой энергии.</w:t>
      </w:r>
    </w:p>
    <w:p>
      <w:pPr>
        <w:spacing w:line="360" w:lineRule="auto"/>
        <w:ind w:firstLine="567"/>
        <w:jc w:val="both"/>
        <w:rPr>
          <w:color w:val="000000"/>
          <w:sz w:val="28"/>
          <w:szCs w:val="28"/>
        </w:rPr>
      </w:pPr>
      <w:r>
        <w:rPr>
          <w:color w:val="000000"/>
          <w:sz w:val="28"/>
          <w:szCs w:val="28"/>
        </w:rPr>
        <w:t>Часть установленных на ЦТП и ИТП регулирующих клапанов находятся в отключенном положении, что также приводит к нарушению гидравлических режимов квартальных тепловых сетей.</w:t>
      </w:r>
    </w:p>
    <w:p>
      <w:pPr>
        <w:spacing w:line="360" w:lineRule="auto"/>
        <w:ind w:firstLine="567"/>
        <w:jc w:val="both"/>
        <w:rPr>
          <w:color w:val="000000"/>
          <w:sz w:val="28"/>
          <w:szCs w:val="28"/>
        </w:rPr>
      </w:pPr>
      <w:r>
        <w:rPr>
          <w:color w:val="000000"/>
          <w:sz w:val="28"/>
          <w:szCs w:val="28"/>
        </w:rPr>
        <w:t>Определенную проблему в настоящее время вызывает подключение новых потребителей к действующим источникам теплоты.</w:t>
      </w:r>
    </w:p>
    <w:p>
      <w:pPr>
        <w:spacing w:line="360" w:lineRule="auto"/>
        <w:ind w:firstLine="567"/>
        <w:jc w:val="both"/>
        <w:rPr>
          <w:color w:val="000000"/>
          <w:sz w:val="28"/>
          <w:szCs w:val="28"/>
        </w:rPr>
      </w:pPr>
      <w:r>
        <w:rPr>
          <w:color w:val="000000"/>
          <w:sz w:val="28"/>
          <w:szCs w:val="28"/>
        </w:rPr>
        <w:t>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w:t>
      </w:r>
    </w:p>
    <w:p>
      <w:pPr>
        <w:spacing w:line="360" w:lineRule="auto"/>
        <w:ind w:firstLine="567"/>
        <w:jc w:val="both"/>
        <w:rPr>
          <w:color w:val="000000"/>
          <w:sz w:val="28"/>
          <w:szCs w:val="28"/>
        </w:rPr>
      </w:pPr>
      <w:r>
        <w:rPr>
          <w:color w:val="000000"/>
          <w:sz w:val="28"/>
          <w:szCs w:val="28"/>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50% количество аварий лавинообразно возрастает. Приведение состояния тепловой изоляции трубопроводов до требования СП 61.13330.2012 Тепловая изоляция оборудования и трубопроводов. Актуализированная редакция СНиП 41-03-2003 и приказа Минэнерго России от 30.12.2008 г. № 325 позволит увеличить поставку тепла потребителям. Капитальный ремонт теплотрасс рекомендуется выполнять с заменой трубопроводов на предизолированные в заводских условиях.</w:t>
      </w:r>
    </w:p>
    <w:p>
      <w:pPr>
        <w:spacing w:line="360" w:lineRule="auto"/>
        <w:ind w:firstLine="567"/>
        <w:jc w:val="both"/>
        <w:rPr>
          <w:color w:val="000000"/>
          <w:sz w:val="28"/>
          <w:szCs w:val="28"/>
        </w:rPr>
      </w:pPr>
      <w:r>
        <w:rPr>
          <w:color w:val="000000"/>
          <w:sz w:val="28"/>
          <w:szCs w:val="28"/>
        </w:rPr>
        <w:t>Проблем снабжения топливом действующих систем теплоснабжения не зафиксировано.</w:t>
      </w:r>
    </w:p>
    <w:p>
      <w:pPr>
        <w:spacing w:line="360" w:lineRule="auto"/>
        <w:ind w:firstLine="567"/>
        <w:jc w:val="both"/>
        <w:rPr>
          <w:color w:val="000000"/>
          <w:sz w:val="28"/>
          <w:szCs w:val="28"/>
        </w:rPr>
      </w:pPr>
      <w:r>
        <w:rPr>
          <w:color w:val="000000"/>
          <w:sz w:val="28"/>
          <w:szCs w:val="28"/>
        </w:rPr>
        <w:t>Выбросы парниковых от источников производства тепловой энергии города в 2017 г. составили 284,9 тыс. тн СО</w:t>
      </w:r>
      <w:r>
        <w:rPr>
          <w:color w:val="000000"/>
          <w:sz w:val="28"/>
          <w:szCs w:val="28"/>
          <w:vertAlign w:val="subscript"/>
        </w:rPr>
        <w:t>2-экв.</w:t>
      </w:r>
      <w:r>
        <w:rPr>
          <w:color w:val="000000"/>
          <w:sz w:val="28"/>
          <w:szCs w:val="28"/>
        </w:rPr>
        <w:t xml:space="preserve"> Объемы выбросов напрямую зависят от объемов сжигаемого топлива. Практически вся часть эмиссии приходится на двуокись углерода от сжигания природного газа.</w:t>
      </w:r>
    </w:p>
    <w:p>
      <w:pPr>
        <w:spacing w:line="360" w:lineRule="auto"/>
        <w:jc w:val="both"/>
        <w:rPr>
          <w:color w:val="000000"/>
          <w:sz w:val="28"/>
          <w:szCs w:val="28"/>
        </w:rPr>
      </w:pPr>
    </w:p>
    <w:p>
      <w:pPr>
        <w:pStyle w:val="3"/>
        <w:numPr>
          <w:ilvl w:val="1"/>
          <w:numId w:val="30"/>
        </w:numPr>
        <w:pBdr>
          <w:bottom w:val="single" w:color="auto" w:sz="4" w:space="1"/>
        </w:pBdr>
        <w:tabs>
          <w:tab w:val="left" w:pos="1276"/>
        </w:tabs>
        <w:spacing w:before="0" w:after="200"/>
        <w:ind w:hanging="721"/>
        <w:rPr>
          <w:rFonts w:ascii="Times New Roman" w:hAnsi="Times New Roman"/>
          <w:i w:val="0"/>
          <w:color w:val="000000"/>
          <w:sz w:val="30"/>
          <w:szCs w:val="30"/>
        </w:rPr>
      </w:pPr>
      <w:bookmarkStart w:id="13" w:name="_Toc21015031"/>
      <w:r>
        <w:rPr>
          <w:rFonts w:ascii="Times New Roman" w:hAnsi="Times New Roman"/>
          <w:i w:val="0"/>
          <w:color w:val="000000"/>
          <w:sz w:val="30"/>
          <w:szCs w:val="30"/>
        </w:rPr>
        <w:t>Краткий анализ существующего состояния системы водоснабжения</w:t>
      </w:r>
      <w:bookmarkEnd w:id="13"/>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14" w:name="_Toc21015032"/>
      <w:r>
        <w:rPr>
          <w:rFonts w:ascii="Times New Roman" w:hAnsi="Times New Roman"/>
          <w:i w:val="0"/>
          <w:color w:val="000000"/>
          <w:sz w:val="30"/>
          <w:szCs w:val="30"/>
        </w:rPr>
        <w:t>Организационная структура</w:t>
      </w:r>
      <w:bookmarkEnd w:id="14"/>
    </w:p>
    <w:p>
      <w:pPr>
        <w:spacing w:line="360" w:lineRule="auto"/>
        <w:jc w:val="both"/>
        <w:rPr>
          <w:sz w:val="28"/>
          <w:szCs w:val="20"/>
        </w:rPr>
      </w:pPr>
      <w:r>
        <w:rPr>
          <w:sz w:val="28"/>
          <w:szCs w:val="20"/>
        </w:rPr>
        <w:t xml:space="preserve"> Для водоснабжения абонентов «ТУ Одинцово» организованы централизованные и нецентрализованные системы водоснабжения.</w:t>
      </w:r>
    </w:p>
    <w:p>
      <w:pPr>
        <w:spacing w:line="360" w:lineRule="auto"/>
        <w:ind w:firstLine="567"/>
        <w:jc w:val="both"/>
        <w:rPr>
          <w:sz w:val="28"/>
          <w:szCs w:val="20"/>
        </w:rPr>
      </w:pPr>
      <w:r>
        <w:rPr>
          <w:sz w:val="28"/>
          <w:szCs w:val="20"/>
        </w:rPr>
        <w:t xml:space="preserve">В настоящее время источниками водоснабжения ТУ Одинцово является система Мосводопровода и местные подземные воды. </w:t>
      </w:r>
    </w:p>
    <w:p>
      <w:pPr>
        <w:spacing w:line="360" w:lineRule="auto"/>
        <w:ind w:firstLine="567"/>
        <w:jc w:val="both"/>
        <w:rPr>
          <w:sz w:val="28"/>
          <w:szCs w:val="20"/>
        </w:rPr>
      </w:pPr>
      <w:r>
        <w:rPr>
          <w:sz w:val="28"/>
          <w:szCs w:val="20"/>
        </w:rPr>
        <w:t>Вода из системы Мосводопровода поступает от Рублевской водопроводной станции (РВС) в г. Одинцово по водоводу диаметром 900 мм на ВЗУ №7, 8, 9, «Трехгорка» 1 очередь, где смешивается в резервуарах чистой воды с артезианской водой. Для отбора подземной воды действуют водозаборные узлы, в составе которых имеются артезианские скважины и регулирующие резервуары. Практически на всех ВЗУ качество воды соответствует требованиям Сан-ПиН 2.1.4.1074-01 «Питьевая вода», за исключением превышения содержания железа и фтора на некоторых скважинах. Далее с помощью насосных станций второго подъёма вода подается в централизованную водопроводную сеть потребителям. Поступающая вода от Рублевской водопроводной станции проходит очистку и отвечает требованиям СанПиН 2.1.4.1074-01.</w:t>
      </w:r>
    </w:p>
    <w:p>
      <w:pPr>
        <w:spacing w:line="360" w:lineRule="auto"/>
        <w:ind w:firstLine="567"/>
        <w:jc w:val="both"/>
        <w:rPr>
          <w:sz w:val="28"/>
          <w:szCs w:val="20"/>
        </w:rPr>
      </w:pPr>
      <w:r>
        <w:rPr>
          <w:sz w:val="28"/>
          <w:szCs w:val="20"/>
        </w:rPr>
        <w:t>Вторым источником водоснабжения являются подземные воды верхнего, среднего и нижнего карбона. Территория ТУ Одинцово Одинцовского района в гидрогеологическом отношении входит в состав СреднеМоскворецкого месторождения подземных вод (МПВ), относящегося к Центральной части Московского артезианского бассейна, в пределах участка МПВ Одинцово-Баковка. Запасы подземных вод относятся в основном к подоль-скомячковскому, в меньшей степени алексинско-протвинскому водоносным горизонтам. Водозаборные скважины эксплуатируют подольско-мячковский, в меньшей степени алексинско-протвинский (окско-протвинский) водоносные горизонты. Подземные воды эксплуатационных горизонтов имеют природную некондиционность и не соответствуют требованиям по содержанию отдельных природных компонентов.</w:t>
      </w:r>
    </w:p>
    <w:p>
      <w:pPr>
        <w:spacing w:line="360" w:lineRule="auto"/>
        <w:ind w:firstLine="567"/>
        <w:jc w:val="both"/>
        <w:rPr>
          <w:sz w:val="28"/>
          <w:szCs w:val="20"/>
        </w:rPr>
      </w:pPr>
      <w:r>
        <w:rPr>
          <w:sz w:val="28"/>
          <w:szCs w:val="20"/>
        </w:rPr>
        <w:t>В «ТУ Одинцово», система централизованного водоснабжения, в которой осуществляется добыча, очистка, транспортировка и потребление воды питьевого качества на хозяйственно-бытовые нужды населения, коммунальных и прочих объектов, на производственные нужды промышленных предприятий и объектов теплоэнергетики, организована в г. Одинцово, с. Немчиновка, п. Трехгорка, с. Ромашково, п. Озеры, п. Переделки. Основным потребителем является г. Одинцово.</w:t>
      </w:r>
    </w:p>
    <w:p>
      <w:pPr>
        <w:spacing w:line="360" w:lineRule="auto"/>
        <w:ind w:firstLine="567"/>
        <w:jc w:val="both"/>
        <w:rPr>
          <w:sz w:val="28"/>
          <w:szCs w:val="20"/>
        </w:rPr>
      </w:pPr>
      <w:r>
        <w:rPr>
          <w:sz w:val="28"/>
          <w:szCs w:val="20"/>
        </w:rPr>
        <w:t>К территориям муниципального образования, не охваченным централизованной системой водоснабжения можно отнести деревни Вырубово, Глазынино, Губкино и Измалково, по-селки ДО МПС «Березка», Лохино, Лохинский 2-ой, Мамоново, Москворецкого лесопаркхоза, Никонорово, Одинцовский, Переделки и Красный Октябрь и село Акулово. В данных населе-ных пунктах водоснабжение осуществляется из индивидуальных источников (колодцы, индивидуальные скважины). Степень обеспеченности услугами водоснабжения жителей указанных населенных пунктов составляет 100%.</w:t>
      </w:r>
    </w:p>
    <w:p>
      <w:pPr>
        <w:spacing w:line="360" w:lineRule="auto"/>
        <w:ind w:firstLine="567"/>
        <w:jc w:val="both"/>
        <w:rPr>
          <w:sz w:val="28"/>
          <w:szCs w:val="20"/>
        </w:rPr>
      </w:pPr>
      <w:r>
        <w:rPr>
          <w:sz w:val="28"/>
          <w:szCs w:val="20"/>
        </w:rPr>
        <w:t>На момент разработки Программы эксплуатацию имеющихся на территории «ТУ Одинцово» централизованных систем водоснабжения, на праве хозяйственного ведения, осуществляли восемь организаций: ОАО «Одинцовский Водоканал», АО "Одинцовская теплосеть", ООО «Теплосервис-М», ООО "ЖК-Ресурс", ООО "ТеплоЭнергоСервис", ФГБУ «ЦЖКУ» (Федеральное Государственное бюджетное учреждение «Центральное жилищно-коммунальное управление» Министерства обороны РФ), ГУП «Московский метрополитен» и Федеральная служба охраны (ФСО) России.</w:t>
      </w:r>
    </w:p>
    <w:p>
      <w:pPr>
        <w:spacing w:line="360" w:lineRule="auto"/>
        <w:ind w:firstLine="567"/>
        <w:jc w:val="both"/>
        <w:rPr>
          <w:sz w:val="28"/>
          <w:szCs w:val="20"/>
        </w:rPr>
      </w:pPr>
      <w:r>
        <w:rPr>
          <w:sz w:val="28"/>
          <w:szCs w:val="20"/>
        </w:rPr>
        <w:t xml:space="preserve">Предприятие </w:t>
      </w:r>
      <w:r>
        <w:rPr>
          <w:b/>
          <w:sz w:val="28"/>
          <w:szCs w:val="20"/>
        </w:rPr>
        <w:t>ОАО «Одинцовский Водоканал»</w:t>
      </w:r>
      <w:r>
        <w:rPr>
          <w:sz w:val="28"/>
          <w:szCs w:val="20"/>
        </w:rPr>
        <w:t xml:space="preserve"> (Московская область, город Одинцово, ул. Западная, д.17) зарегистрировано 26 декабря 2008 года регистрирующим органом Межрайонная инспекция Федеральной налоговой службы №22 по Московской области. Форма собственности – Муниципальная собственность. Основным видом деятельности является «Забор и очистка воды для питьевых и промышленных нужд». К дополнительным видам деятельности относятся: производство пара и горячей воды (тепловой энергии) котельными, распределение воды для питьевых и промышленных нужд. ОАО «Одинцовский Водоканал» обслуживает сети и объекты водоснабжения в г. Одинцово, в п. Трехгорка и д. Переделки.</w:t>
      </w:r>
    </w:p>
    <w:p>
      <w:pPr>
        <w:spacing w:line="360" w:lineRule="auto"/>
        <w:ind w:firstLine="567"/>
        <w:jc w:val="both"/>
        <w:rPr>
          <w:sz w:val="28"/>
          <w:szCs w:val="20"/>
        </w:rPr>
      </w:pPr>
      <w:r>
        <w:rPr>
          <w:sz w:val="28"/>
          <w:szCs w:val="20"/>
        </w:rPr>
        <w:t xml:space="preserve">Организация </w:t>
      </w:r>
      <w:r>
        <w:rPr>
          <w:b/>
          <w:sz w:val="28"/>
          <w:szCs w:val="20"/>
        </w:rPr>
        <w:t>АО "Одинцовская теплосеть"</w:t>
      </w:r>
      <w:r>
        <w:rPr>
          <w:sz w:val="28"/>
          <w:szCs w:val="20"/>
        </w:rPr>
        <w:t xml:space="preserve"> (Московская область, город Одинцово, ул. Южная, д.4) зарегистрирована 26 декабря 2008 г. регистратором Межрайонная инспекция Федеральной налоговой службы №23 по Московской области. Основным видом деятельности является «Производство пара и горячей воды (тепловой энергии) котельными». Также зарегистрировано 26 дополнительных видов деятельности, в том числе «Строительство инженерных коммуникаций для водоснабжения и водоотведения, газоснабжения». АО "Одинцовская теплосеть" обслуживает сети и объекты водоснабжения в селах Немчиновка и Ромашково.</w:t>
      </w:r>
    </w:p>
    <w:p>
      <w:pPr>
        <w:spacing w:line="360" w:lineRule="auto"/>
        <w:ind w:firstLine="567"/>
        <w:jc w:val="both"/>
        <w:rPr>
          <w:sz w:val="28"/>
          <w:szCs w:val="20"/>
        </w:rPr>
      </w:pPr>
      <w:r>
        <w:rPr>
          <w:sz w:val="28"/>
          <w:szCs w:val="20"/>
        </w:rPr>
        <w:t xml:space="preserve">Организация </w:t>
      </w:r>
      <w:r>
        <w:rPr>
          <w:b/>
          <w:sz w:val="28"/>
          <w:szCs w:val="20"/>
        </w:rPr>
        <w:t>ООО «Теплосервис-М»</w:t>
      </w:r>
      <w:r>
        <w:rPr>
          <w:sz w:val="28"/>
          <w:szCs w:val="20"/>
        </w:rPr>
        <w:t xml:space="preserve"> (Московская область, город Балашиха, ул. Звездная, д. 7, помещение 328) зарегистрировано 30 января 2012 года регистрирующим органом Межрайонная инспекция Федеральной налоговой службы по г. Балашихе Московской области. Основным видом деятельности является «Производство, передача и распределение пара и горячей воды; кондиционирование воздуха». К дополнительному виду деятельности относятся «Забор, очистка и распределение воды». ООО «Теплосервис-М» обслуживает сети и объекты водоснабжения жилого комплекса Сколковский г. Одинцово. </w:t>
      </w:r>
    </w:p>
    <w:p>
      <w:pPr>
        <w:spacing w:line="360" w:lineRule="auto"/>
        <w:ind w:firstLine="567"/>
        <w:jc w:val="both"/>
        <w:rPr>
          <w:sz w:val="28"/>
          <w:szCs w:val="20"/>
        </w:rPr>
      </w:pPr>
      <w:r>
        <w:rPr>
          <w:sz w:val="28"/>
          <w:szCs w:val="20"/>
        </w:rPr>
        <w:t xml:space="preserve">Компания </w:t>
      </w:r>
      <w:r>
        <w:rPr>
          <w:b/>
          <w:sz w:val="28"/>
          <w:szCs w:val="20"/>
        </w:rPr>
        <w:t>ООО "Жк-Ресурс"</w:t>
      </w:r>
      <w:r>
        <w:rPr>
          <w:sz w:val="28"/>
          <w:szCs w:val="20"/>
        </w:rPr>
        <w:t xml:space="preserve"> (Московская область, Одинцовский район, поселок ВНИИССОК, ул. Михаила Кутузова, 3а) зарегистрирована 3 июля 2012 г. регистратором Межрайонная инспекция Федеральной налоговой службы №23 по Московской области. Основным видом деятельности является «Производство, передача и распределение пара и горячей воды; кондиционирование воздуха». Зарегистрировано 14 дополнительных видов деятельности, в том числе «Забор, очистка и распределение воды» и «Распределение воды для питьевых и промышленных нужд». В хозяйственном ведении ООО "ЖК-Ресурс" имеется один водозаборный узел ВЗУ ЖК "Гусарская баллада", около дома ул. Гвардейская, д.38, включающих в себя 6 артезианские скважины.</w:t>
      </w:r>
    </w:p>
    <w:p>
      <w:pPr>
        <w:spacing w:line="360" w:lineRule="auto"/>
        <w:ind w:firstLine="567"/>
        <w:jc w:val="both"/>
        <w:rPr>
          <w:sz w:val="28"/>
          <w:szCs w:val="20"/>
        </w:rPr>
      </w:pPr>
      <w:r>
        <w:rPr>
          <w:b/>
          <w:sz w:val="28"/>
          <w:szCs w:val="20"/>
        </w:rPr>
        <w:t>ООО "ТеплоЭнергоСервис"</w:t>
      </w:r>
      <w:r>
        <w:rPr>
          <w:sz w:val="28"/>
          <w:szCs w:val="20"/>
        </w:rPr>
        <w:t xml:space="preserve"> (Московская область город Голицыно, район Одинцовский, шоссе Петровское, д.52) зарегистрирована 21 мая 2018 г. регистратором Межрайонная инспекция Федеральной налоговой службы №22 по Московской области. Основным видом деятельности является «Производство, передача и распределение пара и горячей воды; кондиционирование воздуха». Дополнительно зарегистрировано еще 23 видов деятельности. К дополнительному виду деятельности относится разведочное бурение. В ведении ООО "ТеплоЭнер-гоСервис" имеется один водозаборный узел ВЗУ ЖК "Микрорайон Немчиновка", около дома ул. Связистов, д.9а, включающих в себя 2 артезианские скважины.</w:t>
      </w:r>
    </w:p>
    <w:p>
      <w:pPr>
        <w:spacing w:line="360" w:lineRule="auto"/>
        <w:ind w:firstLine="567"/>
        <w:jc w:val="both"/>
        <w:rPr>
          <w:sz w:val="28"/>
          <w:szCs w:val="20"/>
        </w:rPr>
      </w:pPr>
      <w:r>
        <w:rPr>
          <w:sz w:val="28"/>
          <w:szCs w:val="20"/>
        </w:rPr>
        <w:t xml:space="preserve">Организация </w:t>
      </w:r>
      <w:r>
        <w:rPr>
          <w:b/>
          <w:sz w:val="28"/>
          <w:szCs w:val="20"/>
        </w:rPr>
        <w:t>ФГБУ «ЦЖКУ»</w:t>
      </w:r>
      <w:r>
        <w:rPr>
          <w:sz w:val="28"/>
          <w:szCs w:val="20"/>
        </w:rPr>
        <w:t xml:space="preserve"> Министерства обороны Российской Федерации создано с 1 апреля 2017 года во исполнение приказа Министра обороны Российской Федерации от 2 марта 2017 года № 155. Цель деятельности – содержание (эксплуатация) объектов военной и социальной инфраструктуры и предоставление коммунальных услуг в интересах Вооруженных Сил Российской Федерации. ФГБУ «ЦЖКУ» обслуживает сети и объекты водоснабжения пос. Баковка, в/г 20 г. Одинцова.</w:t>
      </w:r>
    </w:p>
    <w:p>
      <w:pPr>
        <w:spacing w:line="360" w:lineRule="auto"/>
        <w:ind w:firstLine="567"/>
        <w:jc w:val="both"/>
        <w:rPr>
          <w:sz w:val="28"/>
          <w:szCs w:val="20"/>
        </w:rPr>
      </w:pPr>
      <w:r>
        <w:rPr>
          <w:sz w:val="28"/>
          <w:szCs w:val="20"/>
        </w:rPr>
        <w:t xml:space="preserve">Предприятие </w:t>
      </w:r>
      <w:r>
        <w:rPr>
          <w:b/>
          <w:sz w:val="28"/>
          <w:szCs w:val="20"/>
        </w:rPr>
        <w:t>ГУП «Московский метрополитен»</w:t>
      </w:r>
      <w:r>
        <w:rPr>
          <w:sz w:val="28"/>
          <w:szCs w:val="20"/>
        </w:rPr>
        <w:t xml:space="preserve"> (г. Москва, проспект Мира, д. 41 строение 2) действует с 1 ноября 1994 года, ОГРН присвоен 5 августа 2002 года регистратором Межрайонная инспекция Федеральной налоговой службы № 46 по г. Москве. Основным видом деятельности является «Деятельность метро по перевозке пассажиров». Зарегистрированы 4 дополнительных видов деятельности. ГУП «Московский метрополитен» обслуживает сети и объекты водоснабжения в п. Переделки и в санатории «Баковка».</w:t>
      </w:r>
    </w:p>
    <w:p>
      <w:pPr>
        <w:spacing w:line="360" w:lineRule="auto"/>
        <w:ind w:firstLine="567"/>
        <w:jc w:val="both"/>
        <w:rPr>
          <w:sz w:val="28"/>
          <w:szCs w:val="20"/>
        </w:rPr>
      </w:pPr>
      <w:r>
        <w:rPr>
          <w:sz w:val="28"/>
          <w:szCs w:val="20"/>
        </w:rPr>
        <w:t xml:space="preserve">Организация </w:t>
      </w:r>
      <w:r>
        <w:rPr>
          <w:b/>
          <w:sz w:val="28"/>
          <w:szCs w:val="20"/>
        </w:rPr>
        <w:t>ФСО России</w:t>
      </w:r>
      <w:r>
        <w:rPr>
          <w:sz w:val="28"/>
          <w:szCs w:val="20"/>
        </w:rPr>
        <w:t xml:space="preserve"> (г. Москва, ул. Кремль, 9) действует с 2 августа 1996 года, ОГРН присвоен 6 февраля 2003 года регистратором Межрайонная инспекция Федеральной налоговой службы № 46 по г. Москве. Основным видом деятельности является «Деятельность по обеспечению общественного порядка и безопасности». Федеральная служба охраны (ФСО) России обслуживает сети и объекты водоснабжения в п. дом отдыха Озера.</w:t>
      </w:r>
    </w:p>
    <w:p>
      <w:pPr>
        <w:spacing w:line="360" w:lineRule="auto"/>
        <w:ind w:firstLine="567"/>
        <w:jc w:val="both"/>
        <w:rPr>
          <w:sz w:val="28"/>
          <w:szCs w:val="20"/>
        </w:rPr>
      </w:pPr>
      <w:r>
        <w:rPr>
          <w:sz w:val="28"/>
          <w:szCs w:val="20"/>
        </w:rPr>
        <w:t>Перечень лиц, владеющих на праве собственности или другом законном основании объектами централизованных систем питьевого водоснабжения (ЦСВ) в ТУ Одинцово с указанием объектов принадлежащих им, приведен в таблице 2.2-1.</w:t>
      </w:r>
    </w:p>
    <w:p>
      <w:pPr>
        <w:spacing w:line="360" w:lineRule="auto"/>
        <w:ind w:firstLine="567"/>
        <w:jc w:val="both"/>
        <w:rPr>
          <w:sz w:val="28"/>
          <w:szCs w:val="20"/>
        </w:rPr>
      </w:pPr>
      <w:r>
        <w:rPr>
          <w:sz w:val="28"/>
          <w:szCs w:val="20"/>
        </w:rPr>
        <w:t>На территории ТУ Одинцово отдельные предприятия осуществляют водоснабжение из собственных водозаборных узлов ВЗУ.</w:t>
      </w:r>
    </w:p>
    <w:p>
      <w:pPr>
        <w:spacing w:line="360" w:lineRule="auto"/>
        <w:ind w:firstLine="567"/>
        <w:jc w:val="both"/>
        <w:rPr>
          <w:sz w:val="28"/>
          <w:szCs w:val="20"/>
        </w:rPr>
        <w:sectPr>
          <w:pgSz w:w="11906" w:h="16838"/>
          <w:pgMar w:top="1134" w:right="850" w:bottom="1134" w:left="1701" w:header="708" w:footer="708" w:gutter="0"/>
          <w:cols w:space="708" w:num="1"/>
          <w:docGrid w:linePitch="360" w:charSpace="0"/>
        </w:sectPr>
      </w:pPr>
    </w:p>
    <w:p>
      <w:pPr>
        <w:spacing w:line="360" w:lineRule="auto"/>
        <w:jc w:val="both"/>
        <w:rPr>
          <w:b/>
          <w:color w:val="000000"/>
          <w:sz w:val="28"/>
          <w:szCs w:val="28"/>
        </w:rPr>
      </w:pPr>
      <w:r>
        <w:rPr>
          <w:b/>
          <w:color w:val="000000"/>
          <w:sz w:val="28"/>
          <w:szCs w:val="28"/>
        </w:rPr>
        <w:t>Таблица 2.2-1. Перечень лиц владеющих объектами централизованных систем питьевого водоснабжения</w:t>
      </w:r>
    </w:p>
    <w:tbl>
      <w:tblPr>
        <w:tblStyle w:val="100"/>
        <w:tblW w:w="15735" w:type="dxa"/>
        <w:tblInd w:w="-459" w:type="dxa"/>
        <w:tblLayout w:type="fixed"/>
        <w:tblCellMar>
          <w:top w:w="0" w:type="dxa"/>
          <w:left w:w="108" w:type="dxa"/>
          <w:bottom w:w="0" w:type="dxa"/>
          <w:right w:w="108" w:type="dxa"/>
        </w:tblCellMar>
      </w:tblPr>
      <w:tblGrid>
        <w:gridCol w:w="567"/>
        <w:gridCol w:w="2268"/>
        <w:gridCol w:w="8080"/>
        <w:gridCol w:w="2410"/>
        <w:gridCol w:w="2410"/>
      </w:tblGrid>
      <w:tr>
        <w:tblPrEx>
          <w:tblLayout w:type="fixed"/>
          <w:tblCellMar>
            <w:top w:w="0" w:type="dxa"/>
            <w:left w:w="108" w:type="dxa"/>
            <w:bottom w:w="0" w:type="dxa"/>
            <w:right w:w="108" w:type="dxa"/>
          </w:tblCellMar>
        </w:tblPrEx>
        <w:trPr>
          <w:trHeight w:val="1285" w:hRule="atLeast"/>
          <w:tblHead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 п/п</w:t>
            </w:r>
          </w:p>
        </w:tc>
        <w:tc>
          <w:tcPr>
            <w:tcW w:w="2268"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Наименование объекта централизованной системы водоснабжения</w:t>
            </w:r>
          </w:p>
        </w:tc>
        <w:tc>
          <w:tcPr>
            <w:tcW w:w="8080"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Состав объектов централизованной системы водоснабжения</w:t>
            </w:r>
          </w:p>
        </w:tc>
        <w:tc>
          <w:tcPr>
            <w:tcW w:w="2410"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 xml:space="preserve">Ведомственная принадлежность </w:t>
            </w:r>
          </w:p>
        </w:tc>
        <w:tc>
          <w:tcPr>
            <w:tcW w:w="2410"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Эксплуатирующая организация</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№1</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 артскважины: №1.1, №1.2, №1.3, №1.4;</w:t>
            </w:r>
            <w:r>
              <w:rPr>
                <w:color w:val="000000"/>
                <w:sz w:val="22"/>
              </w:rPr>
              <w:br w:type="textWrapping"/>
            </w:r>
            <w:r>
              <w:rPr>
                <w:color w:val="000000"/>
                <w:sz w:val="22"/>
              </w:rPr>
              <w:t>2 резервуара чистой воды  по 800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 ВНС-1;</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№2 (выведено из эксплуатации)</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№2.2, №2.3 (законсервированы);</w:t>
            </w:r>
            <w:r>
              <w:rPr>
                <w:color w:val="000000"/>
                <w:sz w:val="22"/>
              </w:rPr>
              <w:br w:type="textWrapping"/>
            </w:r>
            <w:r>
              <w:rPr>
                <w:color w:val="000000"/>
                <w:sz w:val="22"/>
              </w:rPr>
              <w:t>2 резервуар чистой воды  по 800 м</w:t>
            </w:r>
            <w:r>
              <w:rPr>
                <w:color w:val="000000"/>
                <w:sz w:val="22"/>
                <w:vertAlign w:val="superscript"/>
              </w:rPr>
              <w:t>3</w:t>
            </w:r>
            <w:r>
              <w:rPr>
                <w:color w:val="000000"/>
                <w:sz w:val="22"/>
              </w:rPr>
              <w:t xml:space="preserve"> (не пригодны к эксплуатации);</w:t>
            </w:r>
            <w:r>
              <w:rPr>
                <w:color w:val="000000"/>
                <w:sz w:val="22"/>
              </w:rPr>
              <w:br w:type="textWrapping"/>
            </w:r>
            <w:r>
              <w:rPr>
                <w:color w:val="000000"/>
                <w:sz w:val="22"/>
              </w:rPr>
              <w:t>насосная станция 2-го подъёма (для включения необходима реконструкция);</w:t>
            </w:r>
            <w:r>
              <w:rPr>
                <w:color w:val="000000"/>
                <w:sz w:val="22"/>
              </w:rPr>
              <w:br w:type="textWrapping"/>
            </w:r>
            <w:r>
              <w:rPr>
                <w:color w:val="000000"/>
                <w:sz w:val="22"/>
              </w:rPr>
              <w:t>сети водоснабжения</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3</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4 (не эксплуатируется)</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1  артскважина №4.1 (не эксплуатируется);</w:t>
            </w:r>
            <w:r>
              <w:rPr>
                <w:color w:val="000000"/>
                <w:sz w:val="22"/>
              </w:rPr>
              <w:br w:type="textWrapping"/>
            </w:r>
            <w:r>
              <w:rPr>
                <w:color w:val="000000"/>
                <w:sz w:val="22"/>
              </w:rPr>
              <w:t>резервуар чистой воды 167 м</w:t>
            </w:r>
            <w:r>
              <w:rPr>
                <w:color w:val="000000"/>
                <w:sz w:val="22"/>
                <w:vertAlign w:val="superscript"/>
              </w:rPr>
              <w:t>3</w:t>
            </w:r>
            <w:r>
              <w:rPr>
                <w:color w:val="000000"/>
                <w:sz w:val="22"/>
              </w:rPr>
              <w:t xml:space="preserve"> (не рабочий);</w:t>
            </w:r>
            <w:r>
              <w:rPr>
                <w:color w:val="000000"/>
                <w:sz w:val="22"/>
              </w:rPr>
              <w:br w:type="textWrapping"/>
            </w:r>
            <w:r>
              <w:rPr>
                <w:color w:val="000000"/>
                <w:sz w:val="22"/>
              </w:rPr>
              <w:t>насосная станция 2-го подъёма (не рабочая);</w:t>
            </w:r>
            <w:r>
              <w:rPr>
                <w:color w:val="000000"/>
                <w:sz w:val="22"/>
              </w:rPr>
              <w:br w:type="textWrapping"/>
            </w:r>
            <w:r>
              <w:rPr>
                <w:color w:val="000000"/>
                <w:sz w:val="22"/>
              </w:rPr>
              <w:t>сети водоснабжения</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4</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№5 (не эксплуатируется)</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1  артскважина №5.1 (не эксплуатируется);</w:t>
            </w:r>
            <w:r>
              <w:rPr>
                <w:color w:val="000000"/>
                <w:sz w:val="22"/>
              </w:rPr>
              <w:br w:type="textWrapping"/>
            </w:r>
            <w:r>
              <w:rPr>
                <w:color w:val="000000"/>
                <w:sz w:val="22"/>
              </w:rPr>
              <w:t>1 водонапорная башня;</w:t>
            </w:r>
            <w:r>
              <w:rPr>
                <w:color w:val="000000"/>
                <w:sz w:val="22"/>
              </w:rPr>
              <w:br w:type="textWrapping"/>
            </w:r>
            <w:r>
              <w:rPr>
                <w:color w:val="000000"/>
                <w:sz w:val="22"/>
              </w:rPr>
              <w:t>резервуар чистой воды 200 м</w:t>
            </w:r>
            <w:r>
              <w:rPr>
                <w:color w:val="000000"/>
                <w:sz w:val="22"/>
                <w:vertAlign w:val="superscript"/>
              </w:rPr>
              <w:t>3</w:t>
            </w:r>
            <w:r>
              <w:rPr>
                <w:color w:val="000000"/>
                <w:sz w:val="22"/>
              </w:rPr>
              <w:t xml:space="preserve"> (не рабочий);</w:t>
            </w:r>
            <w:r>
              <w:rPr>
                <w:color w:val="000000"/>
                <w:sz w:val="22"/>
              </w:rPr>
              <w:br w:type="textWrapping"/>
            </w:r>
            <w:r>
              <w:rPr>
                <w:color w:val="000000"/>
                <w:sz w:val="22"/>
              </w:rPr>
              <w:t>насосная станция 2-го подъёма (не рабочая);</w:t>
            </w:r>
            <w:r>
              <w:rPr>
                <w:color w:val="000000"/>
                <w:sz w:val="22"/>
              </w:rPr>
              <w:br w:type="textWrapping"/>
            </w:r>
            <w:r>
              <w:rPr>
                <w:color w:val="000000"/>
                <w:sz w:val="22"/>
              </w:rPr>
              <w:t>сети водоснабжения</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nil"/>
              <w:right w:val="single" w:color="auto" w:sz="4" w:space="0"/>
            </w:tcBorders>
            <w:shd w:val="clear" w:color="auto" w:fill="auto"/>
            <w:vAlign w:val="center"/>
          </w:tcPr>
          <w:p>
            <w:pPr>
              <w:jc w:val="center"/>
              <w:rPr>
                <w:color w:val="000000"/>
                <w:sz w:val="22"/>
              </w:rPr>
            </w:pPr>
            <w:r>
              <w:rPr>
                <w:color w:val="000000"/>
                <w:sz w:val="22"/>
              </w:rPr>
              <w:t>5</w:t>
            </w:r>
          </w:p>
        </w:tc>
        <w:tc>
          <w:tcPr>
            <w:tcW w:w="2268" w:type="dxa"/>
            <w:tcBorders>
              <w:top w:val="nil"/>
              <w:left w:val="nil"/>
              <w:bottom w:val="nil"/>
              <w:right w:val="single" w:color="auto" w:sz="4" w:space="0"/>
            </w:tcBorders>
            <w:shd w:val="clear" w:color="auto" w:fill="auto"/>
            <w:vAlign w:val="center"/>
          </w:tcPr>
          <w:p>
            <w:pPr>
              <w:jc w:val="center"/>
              <w:rPr>
                <w:color w:val="000000"/>
                <w:sz w:val="22"/>
              </w:rPr>
            </w:pPr>
            <w:r>
              <w:rPr>
                <w:color w:val="000000"/>
                <w:sz w:val="22"/>
              </w:rPr>
              <w:t>ВЗУ №6</w:t>
            </w:r>
          </w:p>
        </w:tc>
        <w:tc>
          <w:tcPr>
            <w:tcW w:w="8080" w:type="dxa"/>
            <w:tcBorders>
              <w:top w:val="nil"/>
              <w:left w:val="nil"/>
              <w:bottom w:val="nil"/>
              <w:right w:val="single" w:color="auto" w:sz="4" w:space="0"/>
            </w:tcBorders>
            <w:shd w:val="clear" w:color="auto" w:fill="auto"/>
            <w:vAlign w:val="center"/>
          </w:tcPr>
          <w:p>
            <w:pPr>
              <w:jc w:val="center"/>
              <w:rPr>
                <w:color w:val="000000"/>
                <w:sz w:val="22"/>
              </w:rPr>
            </w:pPr>
            <w:r>
              <w:rPr>
                <w:color w:val="000000"/>
                <w:sz w:val="22"/>
              </w:rPr>
              <w:t>2  артскважины №6.1, №6.2;</w:t>
            </w:r>
            <w:r>
              <w:rPr>
                <w:color w:val="000000"/>
                <w:sz w:val="22"/>
              </w:rPr>
              <w:br w:type="textWrapping"/>
            </w:r>
            <w:r>
              <w:rPr>
                <w:color w:val="000000"/>
                <w:sz w:val="22"/>
              </w:rPr>
              <w:t>2 резервуара чистой воды по 1000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nil"/>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6</w:t>
            </w:r>
          </w:p>
        </w:tc>
        <w:tc>
          <w:tcPr>
            <w:tcW w:w="2268"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№7</w:t>
            </w:r>
          </w:p>
        </w:tc>
        <w:tc>
          <w:tcPr>
            <w:tcW w:w="80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а) 2  артскважины: №7.1, №7.2;</w:t>
            </w:r>
            <w:r>
              <w:rPr>
                <w:color w:val="000000"/>
                <w:sz w:val="22"/>
              </w:rPr>
              <w:br w:type="textWrapping"/>
            </w:r>
            <w:r>
              <w:rPr>
                <w:color w:val="000000"/>
                <w:sz w:val="22"/>
              </w:rPr>
              <w:t>б) 2 артскважины сателлиты «Верхнеотрадненские» №7.3, №7.3а, г. Одинцово, мкр. «Верхнее Отрадное», ул. Северная, д.17;</w:t>
            </w:r>
            <w:r>
              <w:rPr>
                <w:color w:val="000000"/>
                <w:sz w:val="22"/>
              </w:rPr>
              <w:br w:type="textWrapping"/>
            </w:r>
            <w:r>
              <w:rPr>
                <w:color w:val="000000"/>
                <w:sz w:val="22"/>
              </w:rPr>
              <w:t>в) 2  артскважины сателлиты «Госпитальные» №7.4, №7.4а, г. Одинцово, Красногорское шоссе, 23, около дома ул. Бирюзова, 1с3;</w:t>
            </w:r>
            <w:r>
              <w:rPr>
                <w:color w:val="000000"/>
                <w:sz w:val="22"/>
              </w:rPr>
              <w:br w:type="textWrapping"/>
            </w:r>
            <w:r>
              <w:rPr>
                <w:color w:val="000000"/>
                <w:sz w:val="22"/>
              </w:rPr>
              <w:t>2 резервуара чистой воды  по 5000 м</w:t>
            </w:r>
            <w:r>
              <w:rPr>
                <w:color w:val="000000"/>
                <w:sz w:val="22"/>
                <w:vertAlign w:val="superscript"/>
              </w:rPr>
              <w:t>3</w:t>
            </w:r>
            <w:r>
              <w:rPr>
                <w:color w:val="000000"/>
                <w:sz w:val="22"/>
              </w:rPr>
              <w:t xml:space="preserve"> + 2 резервуара  по 1000 м</w:t>
            </w:r>
            <w:r>
              <w:rPr>
                <w:color w:val="000000"/>
                <w:sz w:val="22"/>
                <w:vertAlign w:val="superscript"/>
              </w:rPr>
              <w:t>3</w:t>
            </w:r>
            <w:r>
              <w:rPr>
                <w:color w:val="000000"/>
                <w:sz w:val="22"/>
              </w:rPr>
              <w:t xml:space="preserve"> (не рабочие);</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7</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№8</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 xml:space="preserve">а) 2 артскважины: №8.1 не функционирует, №8.2; </w:t>
            </w:r>
            <w:r>
              <w:rPr>
                <w:color w:val="000000"/>
                <w:sz w:val="22"/>
              </w:rPr>
              <w:br w:type="textWrapping"/>
            </w:r>
            <w:r>
              <w:rPr>
                <w:color w:val="000000"/>
                <w:sz w:val="22"/>
              </w:rPr>
              <w:t>б) 2  артскважины сателлиты «Полевые» №8.3, №8.4, г. Одинцово, ул. Чикина, д.5;</w:t>
            </w:r>
            <w:r>
              <w:rPr>
                <w:color w:val="000000"/>
                <w:sz w:val="22"/>
              </w:rPr>
              <w:br w:type="textWrapping"/>
            </w:r>
            <w:r>
              <w:rPr>
                <w:color w:val="000000"/>
                <w:sz w:val="22"/>
              </w:rPr>
              <w:t>2 резервуара чистой воды  по 10000 м</w:t>
            </w:r>
            <w:r>
              <w:rPr>
                <w:color w:val="000000"/>
                <w:sz w:val="22"/>
                <w:vertAlign w:val="superscript"/>
              </w:rPr>
              <w:t>3</w:t>
            </w:r>
            <w:r>
              <w:rPr>
                <w:color w:val="000000"/>
                <w:sz w:val="22"/>
              </w:rPr>
              <w:t xml:space="preserve"> + 2 резервуара чистой воды  по 1000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сети водоснабжения</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8</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№9</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а) 1 артскважина №9.2;</w:t>
            </w:r>
            <w:r>
              <w:rPr>
                <w:color w:val="000000"/>
                <w:sz w:val="22"/>
              </w:rPr>
              <w:br w:type="textWrapping"/>
            </w:r>
            <w:r>
              <w:rPr>
                <w:color w:val="000000"/>
                <w:sz w:val="22"/>
              </w:rPr>
              <w:t>б) 2 артскважины сателлиты "северные": №9.3, №9.4;</w:t>
            </w:r>
            <w:r>
              <w:rPr>
                <w:color w:val="000000"/>
                <w:sz w:val="22"/>
              </w:rPr>
              <w:br w:type="textWrapping"/>
            </w:r>
            <w:r>
              <w:rPr>
                <w:color w:val="000000"/>
                <w:sz w:val="22"/>
              </w:rPr>
              <w:t>2 резервуара чистой воды  по 3400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9</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№10</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№10.1, №10.2;</w:t>
            </w:r>
            <w:r>
              <w:rPr>
                <w:color w:val="000000"/>
                <w:sz w:val="22"/>
              </w:rPr>
              <w:br w:type="textWrapping"/>
            </w:r>
            <w:r>
              <w:rPr>
                <w:color w:val="000000"/>
                <w:sz w:val="22"/>
              </w:rPr>
              <w:t>2 резервуара чистой воды  по 500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станция обезжелезивания;</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10</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«Трехгорка» 1-я очередь</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 №2;</w:t>
            </w:r>
            <w:r>
              <w:rPr>
                <w:color w:val="000000"/>
                <w:sz w:val="22"/>
              </w:rPr>
              <w:br w:type="textWrapping"/>
            </w:r>
            <w:r>
              <w:rPr>
                <w:color w:val="000000"/>
                <w:sz w:val="22"/>
              </w:rPr>
              <w:t>2 резервуара чистой воды  по 500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11</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«Трехгорка» 2-я очередь</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 артскважины: №1, №2, №3 и №4;</w:t>
            </w:r>
            <w:r>
              <w:rPr>
                <w:color w:val="000000"/>
                <w:sz w:val="22"/>
              </w:rPr>
              <w:br w:type="textWrapping"/>
            </w:r>
            <w:r>
              <w:rPr>
                <w:color w:val="000000"/>
                <w:sz w:val="22"/>
              </w:rPr>
              <w:t>станция водоочистки;</w:t>
            </w:r>
            <w:r>
              <w:rPr>
                <w:color w:val="000000"/>
                <w:sz w:val="22"/>
              </w:rPr>
              <w:br w:type="textWrapping"/>
            </w:r>
            <w:r>
              <w:rPr>
                <w:color w:val="000000"/>
                <w:sz w:val="22"/>
              </w:rPr>
              <w:t>2 резервуара чистой воды;</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12</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мкр. Одинцово-1</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 №2;</w:t>
            </w:r>
            <w:r>
              <w:rPr>
                <w:color w:val="000000"/>
                <w:sz w:val="22"/>
              </w:rPr>
              <w:br w:type="textWrapping"/>
            </w:r>
            <w:r>
              <w:rPr>
                <w:color w:val="000000"/>
                <w:sz w:val="22"/>
              </w:rPr>
              <w:t>резервуар чистой воды - 2 шт.,</w:t>
            </w:r>
            <w:r>
              <w:rPr>
                <w:color w:val="000000"/>
                <w:sz w:val="22"/>
              </w:rPr>
              <w:br w:type="textWrapping"/>
            </w:r>
            <w:r>
              <w:rPr>
                <w:color w:val="000000"/>
                <w:sz w:val="22"/>
              </w:rPr>
              <w:t>водонапорная башня не используется;</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13</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Переделкино</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№11.1, №11.2;</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r>
              <w:rPr>
                <w:color w:val="000000"/>
                <w:sz w:val="22"/>
              </w:rPr>
              <w:br w:type="textWrapping"/>
            </w:r>
            <w:r>
              <w:rPr>
                <w:color w:val="000000"/>
                <w:sz w:val="22"/>
              </w:rPr>
              <w:t>ООО "Стальное" (построена застройщиком и принадлежит ему)</w:t>
            </w:r>
          </w:p>
        </w:tc>
        <w:tc>
          <w:tcPr>
            <w:tcW w:w="2410" w:type="dxa"/>
            <w:vMerge w:val="continue"/>
            <w:tcBorders>
              <w:top w:val="nil"/>
              <w:left w:val="single" w:color="auto" w:sz="4" w:space="0"/>
              <w:bottom w:val="single" w:color="auto"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14</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№4 "Немчиновка"</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№1/57, №1/70;</w:t>
            </w:r>
            <w:r>
              <w:rPr>
                <w:color w:val="000000"/>
                <w:sz w:val="22"/>
              </w:rPr>
              <w:br w:type="textWrapping"/>
            </w:r>
            <w:r>
              <w:rPr>
                <w:color w:val="000000"/>
                <w:sz w:val="22"/>
              </w:rPr>
              <w:t>2 резервуара чистой воды по 150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color w:val="000000"/>
                <w:sz w:val="22"/>
              </w:rPr>
            </w:pPr>
            <w:r>
              <w:rPr>
                <w:color w:val="000000"/>
                <w:sz w:val="22"/>
              </w:rPr>
              <w:t>АО "Одинцовская теплосеть"</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15</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№5 «Верхнее Ромашково»</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артскважина №9 резервная;</w:t>
            </w:r>
            <w:r>
              <w:rPr>
                <w:color w:val="000000"/>
                <w:sz w:val="22"/>
              </w:rPr>
              <w:br w:type="textWrapping"/>
            </w:r>
            <w:r>
              <w:rPr>
                <w:color w:val="000000"/>
                <w:sz w:val="22"/>
              </w:rPr>
              <w:t>резервуар чистой воды  300 м</w:t>
            </w:r>
            <w:r>
              <w:rPr>
                <w:color w:val="000000"/>
                <w:sz w:val="22"/>
                <w:vertAlign w:val="superscript"/>
              </w:rPr>
              <w:t>3</w:t>
            </w:r>
            <w:r>
              <w:rPr>
                <w:color w:val="000000"/>
                <w:sz w:val="22"/>
              </w:rPr>
              <w:t xml:space="preserve"> не используется;</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000000"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16</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№7 «Верхнее Ромашково»</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артскважина №10;</w:t>
            </w:r>
            <w:r>
              <w:rPr>
                <w:color w:val="000000"/>
                <w:sz w:val="22"/>
              </w:rPr>
              <w:br w:type="textWrapping"/>
            </w:r>
            <w:r>
              <w:rPr>
                <w:color w:val="000000"/>
                <w:sz w:val="22"/>
              </w:rPr>
              <w:t>1 водонапорная башня 50 м</w:t>
            </w:r>
            <w:r>
              <w:rPr>
                <w:color w:val="000000"/>
                <w:sz w:val="22"/>
                <w:vertAlign w:val="superscript"/>
              </w:rPr>
              <w:t>3</w:t>
            </w:r>
            <w:r>
              <w:rPr>
                <w:color w:val="000000"/>
                <w:sz w:val="22"/>
              </w:rPr>
              <w:t>;</w:t>
            </w:r>
            <w:r>
              <w:rPr>
                <w:color w:val="000000"/>
                <w:sz w:val="22"/>
              </w:rPr>
              <w:br w:type="textWrapping"/>
            </w:r>
            <w:r>
              <w:rPr>
                <w:color w:val="000000"/>
                <w:sz w:val="22"/>
              </w:rPr>
              <w:t>сети водоснабжения</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000000"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17</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№6 «Нижнее Ромашково»</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№7, №8;</w:t>
            </w:r>
            <w:r>
              <w:rPr>
                <w:color w:val="000000"/>
                <w:sz w:val="22"/>
              </w:rPr>
              <w:br w:type="textWrapping"/>
            </w:r>
            <w:r>
              <w:rPr>
                <w:color w:val="000000"/>
                <w:sz w:val="22"/>
              </w:rPr>
              <w:t>1 водонапорная башня 50 м</w:t>
            </w:r>
            <w:r>
              <w:rPr>
                <w:color w:val="000000"/>
                <w:sz w:val="22"/>
                <w:vertAlign w:val="superscript"/>
              </w:rPr>
              <w:t>3</w:t>
            </w:r>
            <w:r>
              <w:rPr>
                <w:color w:val="000000"/>
                <w:sz w:val="22"/>
              </w:rPr>
              <w:t>;</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«Одинцовский Водоканал»</w:t>
            </w:r>
          </w:p>
        </w:tc>
        <w:tc>
          <w:tcPr>
            <w:tcW w:w="2410" w:type="dxa"/>
            <w:vMerge w:val="continue"/>
            <w:tcBorders>
              <w:top w:val="nil"/>
              <w:left w:val="single" w:color="auto" w:sz="4" w:space="0"/>
              <w:bottom w:val="single" w:color="000000" w:sz="4" w:space="0"/>
              <w:right w:val="single" w:color="auto" w:sz="4" w:space="0"/>
            </w:tcBorders>
            <w:vAlign w:val="center"/>
          </w:tcPr>
          <w:p>
            <w:pPr>
              <w:rPr>
                <w:color w:val="000000"/>
                <w:sz w:val="22"/>
              </w:rPr>
            </w:pP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18</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ЖК "Сколковский"</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3 артскважины: №1, №2, №3;</w:t>
            </w:r>
            <w:r>
              <w:rPr>
                <w:color w:val="000000"/>
                <w:sz w:val="22"/>
              </w:rPr>
              <w:br w:type="textWrapping"/>
            </w:r>
            <w:r>
              <w:rPr>
                <w:color w:val="000000"/>
                <w:sz w:val="22"/>
              </w:rPr>
              <w:t>2 резервуара чистой воды  по1065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ООО "ФСК "Лидер"</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ООО "Теплосервис-М"</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19</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ЖК "Гусарская баллада"</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6 артскважины: №1, №2, №3, №4, №5, №6;</w:t>
            </w:r>
            <w:r>
              <w:rPr>
                <w:color w:val="000000"/>
                <w:sz w:val="22"/>
              </w:rPr>
              <w:br w:type="textWrapping"/>
            </w:r>
            <w:r>
              <w:rPr>
                <w:color w:val="000000"/>
                <w:sz w:val="22"/>
              </w:rPr>
              <w:t>2 резервуара чистой воды  по1500 м</w:t>
            </w:r>
            <w:r>
              <w:rPr>
                <w:color w:val="000000"/>
                <w:sz w:val="22"/>
                <w:vertAlign w:val="superscript"/>
              </w:rPr>
              <w:t>3</w:t>
            </w:r>
            <w:r>
              <w:rPr>
                <w:color w:val="000000"/>
                <w:sz w:val="22"/>
              </w:rPr>
              <w:t>;</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ООО "ЖК-Ресурс"</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ООО "ЖК-Ресурс"</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20</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ЖК "Микрорайон Немчиновка"</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 №2;</w:t>
            </w:r>
            <w:r>
              <w:rPr>
                <w:color w:val="000000"/>
                <w:sz w:val="22"/>
              </w:rPr>
              <w:br w:type="textWrapping"/>
            </w:r>
            <w:r>
              <w:rPr>
                <w:color w:val="000000"/>
                <w:sz w:val="22"/>
              </w:rPr>
              <w:t>резервуары чистой воды;</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установка для обезараживания;</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ОАО «494 УНР»</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ООО "ТеплоЭнергоСервис"</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21</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Баковка, в/г 20</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 №2;</w:t>
            </w:r>
            <w:r>
              <w:rPr>
                <w:color w:val="000000"/>
                <w:sz w:val="22"/>
              </w:rPr>
              <w:br w:type="textWrapping"/>
            </w:r>
            <w:r>
              <w:rPr>
                <w:color w:val="000000"/>
                <w:sz w:val="22"/>
              </w:rPr>
              <w:t>водонапорная башня;</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ФГБУ «ЦЖКУ»</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ФГБУ «ЦЖКУ»</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22</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санаторий «Баковка»</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№88/380, №89/433;</w:t>
            </w:r>
            <w:r>
              <w:rPr>
                <w:color w:val="000000"/>
                <w:sz w:val="22"/>
              </w:rPr>
              <w:br w:type="textWrapping"/>
            </w:r>
            <w:r>
              <w:rPr>
                <w:color w:val="000000"/>
                <w:sz w:val="22"/>
              </w:rPr>
              <w:t>водонапорная башня;</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ГУП «Московский метрополитен»</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ГУП «Московский метрополитен»</w:t>
            </w:r>
          </w:p>
        </w:tc>
      </w:tr>
      <w:tr>
        <w:tblPrEx>
          <w:tblLayout w:type="fixed"/>
          <w:tblCellMar>
            <w:top w:w="0" w:type="dxa"/>
            <w:left w:w="108" w:type="dxa"/>
            <w:bottom w:w="0" w:type="dxa"/>
            <w:right w:w="108" w:type="dxa"/>
          </w:tblCellMar>
        </w:tblPrEx>
        <w:trPr>
          <w:trHeight w:val="34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23</w:t>
            </w:r>
          </w:p>
        </w:tc>
        <w:tc>
          <w:tcPr>
            <w:tcW w:w="2268"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ВЗУ "Озера"</w:t>
            </w:r>
          </w:p>
        </w:tc>
        <w:tc>
          <w:tcPr>
            <w:tcW w:w="808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  артскважины №1, №2;</w:t>
            </w:r>
            <w:r>
              <w:rPr>
                <w:color w:val="000000"/>
                <w:sz w:val="22"/>
              </w:rPr>
              <w:br w:type="textWrapping"/>
            </w:r>
            <w:r>
              <w:rPr>
                <w:color w:val="000000"/>
                <w:sz w:val="22"/>
              </w:rPr>
              <w:t>насосная станция 2-го подъёма;</w:t>
            </w:r>
            <w:r>
              <w:rPr>
                <w:color w:val="000000"/>
                <w:sz w:val="22"/>
              </w:rPr>
              <w:br w:type="textWrapping"/>
            </w:r>
            <w:r>
              <w:rPr>
                <w:color w:val="000000"/>
                <w:sz w:val="22"/>
              </w:rPr>
              <w:t xml:space="preserve">сети водоснабжения </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Федеральная служба охраны (ФСО) России</w:t>
            </w:r>
          </w:p>
        </w:tc>
        <w:tc>
          <w:tcPr>
            <w:tcW w:w="2410"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Федеральная служба охраны (ФСО) России</w:t>
            </w:r>
          </w:p>
        </w:tc>
      </w:tr>
    </w:tbl>
    <w:p>
      <w:pPr>
        <w:spacing w:line="360" w:lineRule="auto"/>
        <w:ind w:firstLine="567"/>
        <w:jc w:val="both"/>
        <w:rPr>
          <w:sz w:val="28"/>
          <w:szCs w:val="20"/>
        </w:rPr>
      </w:pPr>
    </w:p>
    <w:p>
      <w:pPr>
        <w:spacing w:line="360" w:lineRule="auto"/>
        <w:ind w:firstLine="567"/>
        <w:jc w:val="both"/>
        <w:rPr>
          <w:sz w:val="28"/>
          <w:szCs w:val="20"/>
        </w:rPr>
      </w:pPr>
    </w:p>
    <w:p>
      <w:pPr>
        <w:spacing w:line="360" w:lineRule="auto"/>
        <w:ind w:firstLine="567"/>
        <w:jc w:val="both"/>
        <w:rPr>
          <w:sz w:val="28"/>
          <w:szCs w:val="20"/>
        </w:rPr>
      </w:pPr>
    </w:p>
    <w:p>
      <w:pPr>
        <w:spacing w:line="360" w:lineRule="auto"/>
        <w:ind w:firstLine="567"/>
        <w:jc w:val="both"/>
        <w:rPr>
          <w:sz w:val="28"/>
          <w:szCs w:val="20"/>
        </w:rPr>
      </w:pPr>
    </w:p>
    <w:p>
      <w:pPr>
        <w:spacing w:line="360" w:lineRule="auto"/>
        <w:ind w:firstLine="567"/>
        <w:jc w:val="both"/>
        <w:rPr>
          <w:sz w:val="28"/>
          <w:szCs w:val="20"/>
        </w:rPr>
        <w:sectPr>
          <w:pgSz w:w="16838" w:h="11906" w:orient="landscape"/>
          <w:pgMar w:top="1701" w:right="1134" w:bottom="850" w:left="1134" w:header="708" w:footer="708" w:gutter="0"/>
          <w:cols w:space="708" w:num="1"/>
          <w:docGrid w:linePitch="360" w:charSpace="0"/>
        </w:sectPr>
      </w:pPr>
    </w:p>
    <w:p>
      <w:pPr>
        <w:spacing w:line="360" w:lineRule="auto"/>
        <w:ind w:firstLine="567"/>
        <w:jc w:val="both"/>
        <w:rPr>
          <w:sz w:val="28"/>
          <w:szCs w:val="20"/>
        </w:rPr>
      </w:pPr>
      <w:r>
        <w:rPr>
          <w:sz w:val="28"/>
          <w:szCs w:val="20"/>
        </w:rPr>
        <w:t>В соответствии с существующим положением, в системе водоснабжения «ТУ Одинцово» сложились восемь зон эксплуатационной ответственности.</w:t>
      </w:r>
    </w:p>
    <w:p>
      <w:pPr>
        <w:spacing w:line="360" w:lineRule="auto"/>
        <w:ind w:firstLine="567"/>
        <w:jc w:val="both"/>
        <w:rPr>
          <w:b/>
          <w:sz w:val="28"/>
          <w:szCs w:val="20"/>
        </w:rPr>
      </w:pPr>
      <w:r>
        <w:rPr>
          <w:b/>
          <w:sz w:val="28"/>
          <w:szCs w:val="20"/>
        </w:rPr>
        <w:t>1-я эксплуатационная зона ответственности</w:t>
      </w:r>
    </w:p>
    <w:p>
      <w:pPr>
        <w:spacing w:line="360" w:lineRule="auto"/>
        <w:ind w:firstLine="567"/>
        <w:jc w:val="both"/>
        <w:rPr>
          <w:sz w:val="28"/>
          <w:szCs w:val="20"/>
        </w:rPr>
      </w:pPr>
      <w:r>
        <w:rPr>
          <w:sz w:val="28"/>
          <w:szCs w:val="20"/>
        </w:rPr>
        <w:t>Обслуживание сетей и сооружений систем питьевого водоснабжения эксплуатационной зоны №1 осуществляет ОАО «Одинцовский Водоканал» (лицензия на право пользования недрами МСК 02491 ВЭ до 01.05.2017 г.). На момент написания схемы, системы централизованного водоснабжения ОАО «Одинцовский Водоканал» включают в себя 13 водозаборных узла и 35 артезианских скважин и комплекс инженерных сооружений состоящих из насосных станций, резервуаров чистой воды, водопроводных сетей и прочее. В настоящее время три водозаборных узла ВЗУ №2, ВЗУ №4 и ВЗУ №5 выведены из эксплуатации, три скважины №2.2, №2.3 и №4.1 законсервированы, а две скважины №5.1 и №8.1 не функционирует. Из 10 действующих водозаборных узла, 7 работают на единую систему водоснабжения и осуществляют подъем и пода-чу абонентам города артезианской воды за исключением водозаборных узлов «Трехгорка» 1-я очередь, «Трехгорка» 2-я очередь и ВЗУ Переделкино, осуществляющие водоснабжение ми-рорайонов Кутузовский, Новая Трехгорка и д. Переделкино, соответственно.</w:t>
      </w:r>
    </w:p>
    <w:p>
      <w:pPr>
        <w:spacing w:line="360" w:lineRule="auto"/>
        <w:ind w:firstLine="567"/>
        <w:jc w:val="both"/>
        <w:rPr>
          <w:b/>
          <w:sz w:val="28"/>
          <w:szCs w:val="20"/>
        </w:rPr>
      </w:pPr>
      <w:r>
        <w:rPr>
          <w:b/>
          <w:sz w:val="28"/>
          <w:szCs w:val="20"/>
        </w:rPr>
        <w:t>2-я эксплуатационная зона ответственности</w:t>
      </w:r>
    </w:p>
    <w:p>
      <w:pPr>
        <w:spacing w:line="360" w:lineRule="auto"/>
        <w:ind w:firstLine="567"/>
        <w:jc w:val="both"/>
        <w:rPr>
          <w:sz w:val="28"/>
          <w:szCs w:val="20"/>
        </w:rPr>
      </w:pPr>
      <w:r>
        <w:rPr>
          <w:sz w:val="28"/>
          <w:szCs w:val="20"/>
        </w:rPr>
        <w:t>Данная эксплуатационная зона охватывается сооружениями и сетями централизованного питьевого водоснабжения предприятия АО "Одинцовская теплосеть". В эксплуатационной зоне АО "Одинцовская теплосеть" имеются 4 водозаборных узла и 6 артезианских скважин и комплекс инженерных сооружений состоящих из насосных станций, резервуаров чистой воды, водонапорных башен, водопроводных сетей и прочее. Одна скважина №9 ВЗУ №5 «Верхнее Ромашково» резервная. АО "Одинцовская теплосеть" обслуживает сети и объекты водоснабжения в селах Немчиновка и Ромашково. Водоснабжение села Немчиновка осуществляется одной централизованной системой водоснабжения, в которой подъем и подача абонентам артезианской воды осуществляется при помощи ВЗУ № 4. Водоснабжение села Ромашково осуществляется двумя централизованными системами водоснабжения: в северной части села (Верхнее Ромашково) включающее в себя ВЗУ №7 и в южной части села (Нижнее Ромашково) включающее в себя ВЗУ №6.</w:t>
      </w:r>
    </w:p>
    <w:p>
      <w:pPr>
        <w:spacing w:line="360" w:lineRule="auto"/>
        <w:ind w:firstLine="567"/>
        <w:jc w:val="both"/>
        <w:rPr>
          <w:b/>
          <w:sz w:val="28"/>
          <w:szCs w:val="20"/>
        </w:rPr>
      </w:pPr>
      <w:r>
        <w:rPr>
          <w:b/>
          <w:sz w:val="28"/>
          <w:szCs w:val="20"/>
        </w:rPr>
        <w:t>3-я эксплуатационная зона ответственности</w:t>
      </w:r>
    </w:p>
    <w:p>
      <w:pPr>
        <w:spacing w:line="360" w:lineRule="auto"/>
        <w:ind w:firstLine="567"/>
        <w:jc w:val="both"/>
        <w:rPr>
          <w:sz w:val="28"/>
          <w:szCs w:val="20"/>
        </w:rPr>
      </w:pPr>
      <w:r>
        <w:rPr>
          <w:sz w:val="28"/>
          <w:szCs w:val="20"/>
        </w:rPr>
        <w:t>Данная эксплуатационная зона охватывается сооружениями и сетями централизованного питьевого водоснабжения предприятия ООО «Теплосервис-М» (лицензия на пользование недрами МСК 06732 ВЭ до 16.12.2041 г.). В эксплуатационной зоне водоснабжения ООО «Теплосервис-М» имеется один водозаборный узел ВЗУ ЖК "Сколковский", включающее в себя 3 артезианские скважины и комплекс инженерных сооружений состоящих из насосных станций, водопроводных сетей и прочее.</w:t>
      </w:r>
    </w:p>
    <w:p>
      <w:pPr>
        <w:spacing w:line="360" w:lineRule="auto"/>
        <w:ind w:firstLine="567"/>
        <w:jc w:val="both"/>
        <w:rPr>
          <w:sz w:val="28"/>
          <w:szCs w:val="20"/>
        </w:rPr>
      </w:pPr>
      <w:r>
        <w:rPr>
          <w:sz w:val="28"/>
          <w:szCs w:val="20"/>
        </w:rPr>
        <w:t>4-я эксплуатационная зона ответственности</w:t>
      </w:r>
    </w:p>
    <w:p>
      <w:pPr>
        <w:spacing w:line="360" w:lineRule="auto"/>
        <w:ind w:firstLine="567"/>
        <w:jc w:val="both"/>
        <w:rPr>
          <w:sz w:val="28"/>
          <w:szCs w:val="20"/>
        </w:rPr>
      </w:pPr>
      <w:r>
        <w:rPr>
          <w:sz w:val="28"/>
          <w:szCs w:val="20"/>
        </w:rPr>
        <w:t>Эксплуатационная зона №4 образована сетями и сооружениями централизованного водоснабжения ООО "ЖК-Ресурс". На балансе предприятия находятся один водозаборный узел ВЗУ ЖК "Гусарская баллада", шесть артезианских скважин и сеты водоснабжения.</w:t>
      </w:r>
    </w:p>
    <w:p>
      <w:pPr>
        <w:spacing w:line="360" w:lineRule="auto"/>
        <w:ind w:firstLine="567"/>
        <w:jc w:val="both"/>
        <w:rPr>
          <w:b/>
          <w:sz w:val="28"/>
          <w:szCs w:val="20"/>
        </w:rPr>
      </w:pPr>
      <w:r>
        <w:rPr>
          <w:b/>
          <w:sz w:val="28"/>
          <w:szCs w:val="20"/>
        </w:rPr>
        <w:t>5-я эксплуатационная зона ответственности</w:t>
      </w:r>
    </w:p>
    <w:p>
      <w:pPr>
        <w:spacing w:line="360" w:lineRule="auto"/>
        <w:ind w:firstLine="567"/>
        <w:jc w:val="both"/>
        <w:rPr>
          <w:sz w:val="28"/>
          <w:szCs w:val="20"/>
        </w:rPr>
      </w:pPr>
      <w:r>
        <w:rPr>
          <w:sz w:val="28"/>
          <w:szCs w:val="20"/>
        </w:rPr>
        <w:t>Данная эксплуатационная зона охватывается сооружениями и сетями централизованного питьевого водоснабжения организации ООО "ТеплоЭнергоСервис". В эксплуатационной зоне предприятия находится один водозаборный узел ВЗУ ЖК "Микрорайон Немчиновка", две артезианские скважины и сеты водоснабжения.</w:t>
      </w:r>
    </w:p>
    <w:p>
      <w:pPr>
        <w:spacing w:line="360" w:lineRule="auto"/>
        <w:ind w:firstLine="567"/>
        <w:jc w:val="both"/>
        <w:rPr>
          <w:b/>
          <w:sz w:val="28"/>
          <w:szCs w:val="20"/>
        </w:rPr>
      </w:pPr>
      <w:r>
        <w:rPr>
          <w:b/>
          <w:sz w:val="28"/>
          <w:szCs w:val="20"/>
        </w:rPr>
        <w:t>6-я эксплуатационная зона ответственности</w:t>
      </w:r>
    </w:p>
    <w:p>
      <w:pPr>
        <w:spacing w:line="360" w:lineRule="auto"/>
        <w:ind w:firstLine="567"/>
        <w:jc w:val="both"/>
        <w:rPr>
          <w:sz w:val="28"/>
          <w:szCs w:val="20"/>
        </w:rPr>
      </w:pPr>
      <w:r>
        <w:rPr>
          <w:sz w:val="28"/>
          <w:szCs w:val="20"/>
        </w:rPr>
        <w:t>Эксплуатационная зона №6 образована сетями и сооружениями питьевого водоснабжения ФГБУ «ЦЖКУ. В хозяйственном ведении ФГБУ «ЦЖКУ имеется водозаборный узел ВЗУ Баковка, в/г 20, включающий в себя 2 артезианские скважины.</w:t>
      </w:r>
    </w:p>
    <w:p>
      <w:pPr>
        <w:spacing w:line="360" w:lineRule="auto"/>
        <w:ind w:firstLine="567"/>
        <w:jc w:val="both"/>
        <w:rPr>
          <w:b/>
          <w:sz w:val="28"/>
          <w:szCs w:val="20"/>
        </w:rPr>
      </w:pPr>
      <w:r>
        <w:rPr>
          <w:b/>
          <w:sz w:val="28"/>
          <w:szCs w:val="20"/>
        </w:rPr>
        <w:t>7-я эксплуатационная зона ответственности</w:t>
      </w:r>
    </w:p>
    <w:p>
      <w:pPr>
        <w:spacing w:line="360" w:lineRule="auto"/>
        <w:ind w:firstLine="567"/>
        <w:jc w:val="both"/>
        <w:rPr>
          <w:sz w:val="28"/>
          <w:szCs w:val="20"/>
        </w:rPr>
      </w:pPr>
      <w:r>
        <w:rPr>
          <w:sz w:val="28"/>
          <w:szCs w:val="20"/>
        </w:rPr>
        <w:t>Эксплуатационная зона №7 образована сетями и сооружениями централизованного водоснабжения ГУП «Московский метрополитен» (лицензия на пользование недрами МСК № 09661 ВЭ до 01.06.2036). На балансе предприятия находится один водозаборный узел ВЗУ санаторий «Баковка», две артезианские скважины и сеты водоснабжения.</w:t>
      </w:r>
    </w:p>
    <w:p>
      <w:pPr>
        <w:spacing w:line="360" w:lineRule="auto"/>
        <w:ind w:firstLine="567"/>
        <w:jc w:val="both"/>
        <w:rPr>
          <w:b/>
          <w:sz w:val="28"/>
          <w:szCs w:val="20"/>
        </w:rPr>
      </w:pPr>
      <w:r>
        <w:rPr>
          <w:b/>
          <w:sz w:val="28"/>
          <w:szCs w:val="20"/>
        </w:rPr>
        <w:t>8-я эксплуатационная зона ответственности</w:t>
      </w:r>
    </w:p>
    <w:p>
      <w:pPr>
        <w:spacing w:line="360" w:lineRule="auto"/>
        <w:ind w:firstLine="567"/>
        <w:jc w:val="both"/>
        <w:rPr>
          <w:sz w:val="28"/>
          <w:szCs w:val="20"/>
        </w:rPr>
      </w:pPr>
      <w:r>
        <w:rPr>
          <w:sz w:val="28"/>
          <w:szCs w:val="20"/>
        </w:rPr>
        <w:t>Данная эксплуатационная зона охватывается сооружениями и сетями централизованного питьевого водоснабжения организации ФСО России. В хозяйственном ведении ФСО России имеется водозаборный узел ВЗУ «Озера», включающий в себя 2 артезианские скважины.</w:t>
      </w:r>
    </w:p>
    <w:p>
      <w:pPr>
        <w:spacing w:line="360" w:lineRule="auto"/>
        <w:ind w:firstLine="567"/>
        <w:jc w:val="both"/>
        <w:rPr>
          <w:sz w:val="28"/>
          <w:szCs w:val="20"/>
        </w:rPr>
      </w:pPr>
      <w:r>
        <w:rPr>
          <w:sz w:val="28"/>
          <w:szCs w:val="20"/>
        </w:rPr>
        <w:t>В соответствии с существующим положением и, исходя из определения технологической зоны водоснабжения, в системе водоснабжения «ТУ Одинцово» можно выделить одиннадцать технологических зон действия централизованных систем водоснабжения для хозяйственно-питьевых и противопожарных нужд:</w:t>
      </w:r>
    </w:p>
    <w:p>
      <w:pPr>
        <w:spacing w:line="360" w:lineRule="auto"/>
        <w:ind w:firstLine="567"/>
        <w:jc w:val="both"/>
        <w:rPr>
          <w:sz w:val="28"/>
          <w:szCs w:val="20"/>
        </w:rPr>
      </w:pPr>
      <w:r>
        <w:rPr>
          <w:sz w:val="28"/>
          <w:szCs w:val="20"/>
        </w:rPr>
        <w:t>1. По одной технологической зоне централизованного водоснабжения в с. Ромашково АО "Одинцовская теплосеть" (две отдельные сети Верхнее и Нижнее Ромашково), п. Переделкино ОАО «Одинцовский Водоканал», д. Переделки ГУП «Московский метрополитен» и п. Д/О «Озера» ФСО России.</w:t>
      </w:r>
    </w:p>
    <w:p>
      <w:pPr>
        <w:spacing w:line="360" w:lineRule="auto"/>
        <w:ind w:firstLine="567"/>
        <w:jc w:val="both"/>
        <w:rPr>
          <w:sz w:val="28"/>
          <w:szCs w:val="20"/>
        </w:rPr>
      </w:pPr>
      <w:r>
        <w:rPr>
          <w:sz w:val="28"/>
          <w:szCs w:val="20"/>
        </w:rPr>
        <w:t>2. Две технологические зоны централизованного водоснабжения в Немчиновке: с. Немчиновка АО "Одинцовская теплосеть" и ЖК «Микрорайон Немчиновка» ООО "ТеплоЭнергоСервис".</w:t>
      </w:r>
    </w:p>
    <w:p>
      <w:pPr>
        <w:spacing w:line="360" w:lineRule="auto"/>
        <w:ind w:firstLine="567"/>
        <w:jc w:val="both"/>
        <w:rPr>
          <w:sz w:val="28"/>
          <w:szCs w:val="20"/>
        </w:rPr>
      </w:pPr>
      <w:r>
        <w:rPr>
          <w:sz w:val="28"/>
          <w:szCs w:val="20"/>
        </w:rPr>
        <w:t>3. Четыре технологических зон централизованного водоснабжения в городе Одинцово.</w:t>
      </w:r>
    </w:p>
    <w:p>
      <w:pPr>
        <w:spacing w:line="360" w:lineRule="auto"/>
        <w:jc w:val="both"/>
        <w:rPr>
          <w:highlight w:val="yellow"/>
        </w:rPr>
      </w:pPr>
      <w:r>
        <w:rPr>
          <w:sz w:val="28"/>
          <w:szCs w:val="20"/>
        </w:rPr>
        <w:t>Организации водоснабжения имеют заключенные договора на подачу питьевой воды населению как через договора с управляющими компаниями и товариществами собственников жилья, так и прямые договора. Отдельно заключаются договора с юридическими лицами (бюджетные и прочие организации). Некоторые организации имеют заключенные договора на поставку топливно-энергетических ресурсов (природный газ, мазут и электроэнергия). Финансовые взаимоотношения устроены сообразно договорным.</w:t>
      </w:r>
    </w:p>
    <w:p>
      <w:pPr>
        <w:spacing w:line="360" w:lineRule="auto"/>
        <w:jc w:val="both"/>
        <w:rPr>
          <w:spacing w:val="-1"/>
          <w:sz w:val="28"/>
          <w:szCs w:val="28"/>
        </w:rPr>
      </w:pP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15" w:name="_Toc21015033"/>
      <w:r>
        <w:rPr>
          <w:rFonts w:ascii="Times New Roman" w:hAnsi="Times New Roman"/>
          <w:i w:val="0"/>
          <w:color w:val="000000"/>
          <w:sz w:val="30"/>
          <w:szCs w:val="30"/>
        </w:rPr>
        <w:t>Анализ существующего технического состояния</w:t>
      </w:r>
      <w:bookmarkEnd w:id="15"/>
    </w:p>
    <w:p>
      <w:pPr>
        <w:spacing w:line="360" w:lineRule="auto"/>
        <w:ind w:firstLine="567"/>
        <w:jc w:val="both"/>
        <w:rPr>
          <w:sz w:val="28"/>
          <w:szCs w:val="28"/>
        </w:rPr>
      </w:pPr>
      <w:r>
        <w:rPr>
          <w:sz w:val="28"/>
          <w:szCs w:val="28"/>
        </w:rPr>
        <w:t>Для хозяйственно-питьевого водоснабжения «ТУ Одинцово» в качестве основных источников водоснабжения в системах централизованного водоснабжения используются пресные поземные воды подольско-мячковского и в меньшей степени алексин-скопротвинского (окско-протвинского) водоносных горизонтов, а также вода из системы Мосводопровода.</w:t>
      </w:r>
    </w:p>
    <w:p>
      <w:pPr>
        <w:spacing w:line="360" w:lineRule="auto"/>
        <w:ind w:firstLine="567"/>
        <w:jc w:val="both"/>
        <w:rPr>
          <w:sz w:val="28"/>
          <w:szCs w:val="28"/>
        </w:rPr>
      </w:pPr>
      <w:r>
        <w:rPr>
          <w:sz w:val="28"/>
          <w:szCs w:val="28"/>
        </w:rPr>
        <w:t>Система централизованного водоснабжения в ТУ Одинцово организована в г. Одинцово, с. Немчиновка, п. Трехгорка, с. Ромашково, п. Озеры, д. Переделки и в каждом населенном пункте имеет свою структуру.</w:t>
      </w:r>
    </w:p>
    <w:p>
      <w:pPr>
        <w:spacing w:line="360" w:lineRule="auto"/>
        <w:ind w:firstLine="567"/>
        <w:jc w:val="both"/>
        <w:rPr>
          <w:sz w:val="28"/>
          <w:szCs w:val="28"/>
        </w:rPr>
      </w:pPr>
      <w:r>
        <w:rPr>
          <w:sz w:val="28"/>
          <w:szCs w:val="28"/>
        </w:rPr>
        <w:t xml:space="preserve">Водоснабжение города Одинцово осуществляется из двух источников: централизованной системы водоснабжения АО «Мосводоканал» и от артезианских скважин находящихся на балансе ОАО «Одинцовский Водоканал», ООО «ЖК-Ресурс», ООО "Теплосервис-М" и ФГБУ «ЦЖКУ». Подача воды АО «Мосводоканал» осуществляется от Рублевской водопроводной станции на ВЗУ №7, 8, 9 ОАО «Одинцовский Водоканал», где смешивается в резерву-арах чистой воды с артезианской водой, и с помощью насосных станций второго подъёма подается в централизованную водопроводную сеть потребителям. Собственные объекты водо-снабжения ОАО «Одинцовский Водоканал» на территории города Одинцово включают в себя 7 действующих водозаборных узлов (ВЗУ), посредством которых осуществляется подъем и подача абонентам города артезианской воды. Сети и объекты водоснабжения микрорайонов ЖК «Гусарская баллада» и Баковка г. Одинцово обслуживают ООО «ЖК-Ресурс» и ФГБУ «ЦЖКУ», соответственно. Водоснабжение этих районов осуществляется из подземных источников и каждая из них представлена одной централизованной системой водоснабжения. </w:t>
      </w:r>
    </w:p>
    <w:p>
      <w:pPr>
        <w:spacing w:line="360" w:lineRule="auto"/>
        <w:ind w:firstLine="567"/>
        <w:jc w:val="both"/>
        <w:rPr>
          <w:sz w:val="28"/>
          <w:szCs w:val="28"/>
        </w:rPr>
      </w:pPr>
      <w:r>
        <w:rPr>
          <w:sz w:val="28"/>
          <w:szCs w:val="28"/>
        </w:rPr>
        <w:t>Водоснабжение села Немчиновка осуществляется из подземных источников и представлено двумя технологическими зонами централизованного водоснабжения ОАО «Одинцовский Водоканал» и ООО "ТеплоЭнергоСервис". Подъем и подача абонентам артезианской воды осуществляется при помощи ВЗУ № 4 «Немчиновка», который принадлежит ОАО «Одинцовский Водоканал», а обслуживается АО "Одинцовская теплосеть" и ВЗУ ЖК "Микрорайон Немчиновка", который принадлежит ОАО «494 УНР», а обслуживается ООО "ТеплоЭнергоСервис".</w:t>
      </w:r>
    </w:p>
    <w:p>
      <w:pPr>
        <w:spacing w:line="360" w:lineRule="auto"/>
        <w:ind w:firstLine="567"/>
        <w:jc w:val="both"/>
        <w:rPr>
          <w:sz w:val="28"/>
          <w:szCs w:val="28"/>
        </w:rPr>
      </w:pPr>
      <w:r>
        <w:rPr>
          <w:sz w:val="28"/>
          <w:szCs w:val="28"/>
        </w:rPr>
        <w:t xml:space="preserve">Водоснабжение микрорайонов Новая Трехгорка и Кутузовский осуществляется из централизованной системы водоснабжения АО «Мосводоканал» и от артезианских скважин и представлено двумя технологическими зонами централизованного водоснабжения ОАО «Одинцовский Водоканал» и ООО "Теплосервис-М". </w:t>
      </w:r>
    </w:p>
    <w:p>
      <w:pPr>
        <w:spacing w:line="360" w:lineRule="auto"/>
        <w:ind w:firstLine="567"/>
        <w:jc w:val="both"/>
        <w:rPr>
          <w:sz w:val="28"/>
          <w:szCs w:val="28"/>
        </w:rPr>
      </w:pPr>
      <w:r>
        <w:rPr>
          <w:sz w:val="28"/>
          <w:szCs w:val="28"/>
        </w:rPr>
        <w:t>Подача воды от Рублевской водопроводной станции осуществляется на ВЗУ «Трехгорка» 1-я очередь и ВЗУ «Трехгорка» 2-я очередь, которые входят в технологическую зону водоснабжения ОАО «Одинцовский Водоканал».</w:t>
      </w:r>
    </w:p>
    <w:p>
      <w:pPr>
        <w:spacing w:line="360" w:lineRule="auto"/>
        <w:ind w:firstLine="567"/>
        <w:jc w:val="both"/>
        <w:rPr>
          <w:sz w:val="28"/>
          <w:szCs w:val="28"/>
        </w:rPr>
      </w:pPr>
      <w:r>
        <w:rPr>
          <w:sz w:val="28"/>
          <w:szCs w:val="28"/>
        </w:rPr>
        <w:t>Технологическая зона водоснабжения ООО "Теплосервис-М" включает в себя одно ВЗУ ЖК "Сколковский", г. Одинцово, ул. Чистякова, осуществляющая подъем и подачу абонентам артезианской воды.</w:t>
      </w:r>
    </w:p>
    <w:p>
      <w:pPr>
        <w:spacing w:line="360" w:lineRule="auto"/>
        <w:ind w:firstLine="567"/>
        <w:jc w:val="both"/>
        <w:rPr>
          <w:sz w:val="28"/>
          <w:szCs w:val="28"/>
        </w:rPr>
      </w:pPr>
      <w:r>
        <w:rPr>
          <w:sz w:val="28"/>
          <w:szCs w:val="28"/>
        </w:rPr>
        <w:t>Водоснабжение села Ромашково осуществляется из подземных источников и представлено одной технологической зоной включающей в себя две отдельные централизованные системы водоснабжения северной и южной части села. Централизованная система водоснабжения северной части села включает в себя два ВЗУ: ВЗУ№5 «Верхнее Ромашково» (резерв-ное) и ВЗУ№7 «Верхнее Ромашково». Централизованная система водоснабжения южной части села включает в себя ВЗУ№6 «Нижнее Ромашково». Сети и объекты систем принадлежат ОАО «Одинцовский Водоканал», а обслуживаются АО "Одинцовская теплосеть".</w:t>
      </w:r>
    </w:p>
    <w:p>
      <w:pPr>
        <w:spacing w:line="360" w:lineRule="auto"/>
        <w:ind w:firstLine="567"/>
        <w:jc w:val="both"/>
        <w:rPr>
          <w:sz w:val="28"/>
          <w:szCs w:val="28"/>
        </w:rPr>
      </w:pPr>
      <w:r>
        <w:rPr>
          <w:sz w:val="28"/>
          <w:szCs w:val="28"/>
        </w:rPr>
        <w:t>Водоснабжение поселка Озеры осуществляется из подземных источников и представлено одной технологической зоной централизованного водоснабжения Федеральной службы охраны (ФСО) России. В ведении ФСО России имеется один водозаборный узел ВЗУ "Озера", включающих в себя 2 артезианские скважины.</w:t>
      </w:r>
    </w:p>
    <w:p>
      <w:pPr>
        <w:spacing w:line="360" w:lineRule="auto"/>
        <w:ind w:firstLine="567"/>
        <w:jc w:val="both"/>
        <w:rPr>
          <w:sz w:val="28"/>
          <w:szCs w:val="28"/>
        </w:rPr>
      </w:pPr>
      <w:r>
        <w:rPr>
          <w:sz w:val="28"/>
          <w:szCs w:val="28"/>
        </w:rPr>
        <w:t>Водоснабжение деревни Переделки осуществляется от артезианских скважин и представлено двумя технологическими зонами централизованного водоснабжения ОАО «Одинцовский Водоканал» и ГУП «Московский метрополитен». Подъем и подача абонентам артезианской воды осуществляется при помощи ВЗУ Переделки, который принадлежит и обслуживается ОАО «Одинцовский Водоканал» и ВЗУ санаторий «Баковка», который принадлежит и обслуживается ГУП «Московский метрополитен».</w:t>
      </w:r>
    </w:p>
    <w:p>
      <w:pPr>
        <w:spacing w:line="360" w:lineRule="auto"/>
        <w:ind w:firstLine="567"/>
        <w:jc w:val="both"/>
        <w:rPr>
          <w:b/>
          <w:sz w:val="28"/>
          <w:szCs w:val="28"/>
        </w:rPr>
      </w:pPr>
      <w:r>
        <w:rPr>
          <w:b/>
          <w:sz w:val="28"/>
          <w:szCs w:val="28"/>
        </w:rPr>
        <w:t>ОАО «Одинцовский Водоканал»</w:t>
      </w:r>
    </w:p>
    <w:p>
      <w:pPr>
        <w:spacing w:line="360" w:lineRule="auto"/>
        <w:ind w:firstLine="567"/>
        <w:jc w:val="both"/>
        <w:rPr>
          <w:b/>
          <w:sz w:val="28"/>
          <w:szCs w:val="28"/>
        </w:rPr>
      </w:pPr>
      <w:r>
        <w:rPr>
          <w:b/>
          <w:sz w:val="28"/>
          <w:szCs w:val="28"/>
        </w:rPr>
        <w:t>ВЗУ №1</w:t>
      </w:r>
    </w:p>
    <w:p>
      <w:pPr>
        <w:spacing w:line="360" w:lineRule="auto"/>
        <w:ind w:firstLine="567"/>
        <w:jc w:val="both"/>
        <w:rPr>
          <w:sz w:val="28"/>
          <w:szCs w:val="28"/>
        </w:rPr>
      </w:pPr>
      <w:r>
        <w:rPr>
          <w:sz w:val="28"/>
          <w:szCs w:val="28"/>
        </w:rPr>
        <w:t>Снабжает водой потребителей 1-ого микрорайона г. Одинцово по улицам: Садовая, Можайское шоссе, Западная, Зеленая, Южная, Акуловская, Триумфальная, Бородинская, Новая, Школьная, Полевая, Железнодорожная, Яскино, Ракетчиков, Березовая, Маршала Неделтна, Маковского, Советская, Свободы, Верхне-Пролетарская. Охват населения – 19983 человек.</w:t>
      </w:r>
    </w:p>
    <w:p>
      <w:pPr>
        <w:spacing w:line="360" w:lineRule="auto"/>
        <w:ind w:firstLine="567"/>
        <w:jc w:val="both"/>
        <w:rPr>
          <w:sz w:val="28"/>
          <w:szCs w:val="28"/>
        </w:rPr>
      </w:pPr>
      <w:r>
        <w:rPr>
          <w:sz w:val="28"/>
          <w:szCs w:val="28"/>
        </w:rPr>
        <w:t xml:space="preserve">ВЗУ №1 включает в себя скважины № 1.1, № 1.2, № 1.3, № 1.4, два резервуара чистой воды по 800 м3 и насосную станцию 2-го подъёма (ВНС-1). Скважины №1.1 и 1.2 расположены в здании насосной станции второго подъема, которое находится в удовлетворительном санитарном состоянии. Скважины №1.3 и №1.4 расположены в наземных кирпичных павильонах. Павильоны находятся в удовлетворительном санитарном состоянии. Скважины работают в автоматическом режиме круглосуточно. </w:t>
      </w:r>
    </w:p>
    <w:p>
      <w:pPr>
        <w:spacing w:line="360" w:lineRule="auto"/>
        <w:ind w:firstLine="567"/>
        <w:jc w:val="both"/>
        <w:rPr>
          <w:sz w:val="28"/>
          <w:szCs w:val="28"/>
        </w:rPr>
      </w:pPr>
      <w:r>
        <w:rPr>
          <w:sz w:val="28"/>
          <w:szCs w:val="28"/>
        </w:rPr>
        <w:t>Электроснабжение ВЗУ №1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Технологическая схема ВЗУ №1 представлена на рисунке 30. Вода из артезианских скважин насосами типа ЭЦВ по трубопроводам Ду-100 мм поступает в два накопительных резервуара (резервуара чистой воды РЧВ), а затем по двухниточному трубопроводу Ду-300 мм подается в насосную станцию 2-го подъема ВНС-1, которая запроектирована для внутри-городского водоснабжения МКР-1 г. Одинцово. Осадок из РЧВ по дренажному трубопроводу поступает в канализационную систему. Проектная документация на ВНС-1 отсутствует. Год ввода в эксплуатацию ВНС-1 – 1964 год. Проектная производительность насосной станции – 22,8 тыс. м3/сут. Среднесуточный объём перекачиваемой воды составляет 5,67 тыс. м3/сут.</w:t>
      </w:r>
    </w:p>
    <w:p>
      <w:pPr>
        <w:spacing w:line="360" w:lineRule="auto"/>
        <w:ind w:firstLine="567"/>
        <w:jc w:val="both"/>
        <w:rPr>
          <w:sz w:val="28"/>
          <w:szCs w:val="28"/>
        </w:rPr>
      </w:pPr>
      <w:r>
        <w:rPr>
          <w:sz w:val="28"/>
          <w:szCs w:val="28"/>
        </w:rPr>
        <w:t>На ВНС-1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№1 составила – 192,1 м3/ч, 4611 м3/сут. Фактическая производительность (водоотбор) по ВЗУ №1 не превышает суммарную проектную мощность скважин.</w:t>
      </w:r>
    </w:p>
    <w:p>
      <w:pPr>
        <w:spacing w:line="360" w:lineRule="auto"/>
        <w:ind w:firstLine="567"/>
        <w:jc w:val="both"/>
        <w:rPr>
          <w:sz w:val="28"/>
          <w:szCs w:val="28"/>
        </w:rPr>
      </w:pPr>
      <w:r>
        <w:rPr>
          <w:sz w:val="28"/>
          <w:szCs w:val="28"/>
        </w:rPr>
        <w:t>Вода из скважины № 1.3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всем показателям, а из скважины № 1.1, 1.2, 1.4 не соответствует требованиям по содержанию железа и мутности. В целом исходная вода, подаваемая в сеть с ВЗУ №1 по содержанию железа и мутности, не соответствует требованиям СанПиН 2.1.4.1074-01. Для достижения соответствия качества воды необходимо строительство на станции системы очистки и подготовки воды.</w:t>
      </w:r>
    </w:p>
    <w:p>
      <w:pPr>
        <w:spacing w:line="360" w:lineRule="auto"/>
        <w:ind w:firstLine="567"/>
        <w:jc w:val="both"/>
        <w:rPr>
          <w:b/>
          <w:sz w:val="28"/>
          <w:szCs w:val="28"/>
        </w:rPr>
      </w:pPr>
      <w:r>
        <w:rPr>
          <w:b/>
          <w:sz w:val="28"/>
          <w:szCs w:val="28"/>
        </w:rPr>
        <w:t>ВЗУ №2</w:t>
      </w:r>
    </w:p>
    <w:p>
      <w:pPr>
        <w:spacing w:line="360" w:lineRule="auto"/>
        <w:ind w:firstLine="567"/>
        <w:jc w:val="both"/>
        <w:rPr>
          <w:sz w:val="28"/>
          <w:szCs w:val="28"/>
        </w:rPr>
      </w:pPr>
      <w:r>
        <w:rPr>
          <w:sz w:val="28"/>
          <w:szCs w:val="28"/>
        </w:rPr>
        <w:t>В состав ВЗУ №2 входит: две артезианские скважины №2.2 (№ 46/5-69-97) и № 2.3 (А-1931), два резервуара чистой воды по 800 м3 (не пригодны к эксплуатации, необходима реконструкция в случае включения в работу) и насосная станция второго подъёма ВНС-2 (необходима реконструкция в случае включения в работу). Скважины расположены в отдельных кирпичных павильонах. Павильоны находятся в удовлетворительном санитарном состоянии.</w:t>
      </w:r>
    </w:p>
    <w:p>
      <w:pPr>
        <w:spacing w:line="360" w:lineRule="auto"/>
        <w:ind w:firstLine="567"/>
        <w:jc w:val="both"/>
        <w:rPr>
          <w:sz w:val="28"/>
          <w:szCs w:val="28"/>
        </w:rPr>
      </w:pPr>
      <w:r>
        <w:rPr>
          <w:sz w:val="28"/>
          <w:szCs w:val="28"/>
        </w:rPr>
        <w:t xml:space="preserve">ВЗУ №2 выведено из эксплуатации с 1996 года. Скважины законсервированы должным образом. </w:t>
      </w:r>
    </w:p>
    <w:p>
      <w:pPr>
        <w:spacing w:line="360" w:lineRule="auto"/>
        <w:ind w:firstLine="567"/>
        <w:jc w:val="both"/>
        <w:rPr>
          <w:sz w:val="28"/>
          <w:szCs w:val="28"/>
        </w:rPr>
      </w:pPr>
      <w:r>
        <w:rPr>
          <w:sz w:val="28"/>
          <w:szCs w:val="28"/>
        </w:rPr>
        <w:t>Электроснабжение ВЗУ №2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ВЗУ №4</w:t>
      </w:r>
    </w:p>
    <w:p>
      <w:pPr>
        <w:spacing w:line="360" w:lineRule="auto"/>
        <w:ind w:firstLine="567"/>
        <w:jc w:val="both"/>
        <w:rPr>
          <w:sz w:val="28"/>
          <w:szCs w:val="28"/>
        </w:rPr>
      </w:pPr>
      <w:r>
        <w:rPr>
          <w:sz w:val="28"/>
          <w:szCs w:val="28"/>
        </w:rPr>
        <w:t>В состав ВЗУ №4 входит: одна артезианская скважина №4.1, один резервуар чистой во-ды 167 м3 (не рабочий) и насосная станция второго подъёма ВНС-4 (не рабочая).</w:t>
      </w:r>
    </w:p>
    <w:p>
      <w:pPr>
        <w:spacing w:line="360" w:lineRule="auto"/>
        <w:ind w:firstLine="567"/>
        <w:jc w:val="both"/>
        <w:rPr>
          <w:sz w:val="28"/>
          <w:szCs w:val="28"/>
        </w:rPr>
      </w:pPr>
      <w:r>
        <w:rPr>
          <w:sz w:val="28"/>
          <w:szCs w:val="28"/>
        </w:rPr>
        <w:t xml:space="preserve">В настоящее время ВЗУ №4 выведено из эксплуатации. Скважина законсервирована должным образом. </w:t>
      </w:r>
    </w:p>
    <w:p>
      <w:pPr>
        <w:spacing w:line="360" w:lineRule="auto"/>
        <w:ind w:firstLine="567"/>
        <w:jc w:val="both"/>
        <w:rPr>
          <w:b/>
          <w:sz w:val="28"/>
          <w:szCs w:val="28"/>
        </w:rPr>
      </w:pPr>
      <w:r>
        <w:rPr>
          <w:b/>
          <w:sz w:val="28"/>
          <w:szCs w:val="28"/>
        </w:rPr>
        <w:t>ВЗУ №5</w:t>
      </w:r>
    </w:p>
    <w:p>
      <w:pPr>
        <w:spacing w:line="360" w:lineRule="auto"/>
        <w:ind w:firstLine="567"/>
        <w:jc w:val="both"/>
        <w:rPr>
          <w:sz w:val="28"/>
          <w:szCs w:val="28"/>
        </w:rPr>
      </w:pPr>
      <w:r>
        <w:rPr>
          <w:sz w:val="28"/>
          <w:szCs w:val="28"/>
        </w:rPr>
        <w:t>ВЗУ №5 включает в себя скважину № 5.1, расположенную в отдельном павильоне, одну водонапорную башню, резервуар чистой воды 200 м3 (не рабочий) и насосную станцию 2-го подъема (не рабочую). Павильон скважины находится в удовлетворительном санитарном состоянии. Устье скважины оборудовано в соответствии с санитарно-гигиеническими требованиями: герметичным оголовком, краном для отбора проб, манометром, водомером.</w:t>
      </w:r>
    </w:p>
    <w:p>
      <w:pPr>
        <w:spacing w:line="360" w:lineRule="auto"/>
        <w:ind w:firstLine="567"/>
        <w:jc w:val="both"/>
        <w:rPr>
          <w:sz w:val="28"/>
          <w:szCs w:val="28"/>
        </w:rPr>
      </w:pPr>
      <w:r>
        <w:rPr>
          <w:sz w:val="28"/>
          <w:szCs w:val="28"/>
        </w:rPr>
        <w:t>Электроснабжение ВЗУ №5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Вода со скважины поступает в водонапорную башню, и далее в сеть потребителям. Водонапорная башня введена в эксплуатацию в 1953 году. В башне, на высоте 14 м расположен стальной бак объемом 200 м3. На ВЗУ №5 регулирование напора на выходе с узла – не производится. Напор задается высотой уровня в баке водонапорной башни.</w:t>
      </w:r>
    </w:p>
    <w:p>
      <w:pPr>
        <w:spacing w:line="360" w:lineRule="auto"/>
        <w:ind w:firstLine="567"/>
        <w:jc w:val="both"/>
        <w:rPr>
          <w:sz w:val="28"/>
          <w:szCs w:val="28"/>
        </w:rPr>
      </w:pPr>
      <w:r>
        <w:rPr>
          <w:sz w:val="28"/>
          <w:szCs w:val="28"/>
        </w:rPr>
        <w:t>Результаты лабораторного контроля показывают, что исходная вода, подаваемая в сеть с ВЗУ №5, не соответствует требованиям СанПиН 2.1.4.1074-01 по содержанию железа и мутности. Для достижения соответствия качества воды необходимо строительство на станции системы очистки и подготовки воды. Согласно предоставленным данным подъем воды из скважины за 2017 год не производился.</w:t>
      </w:r>
    </w:p>
    <w:p>
      <w:pPr>
        <w:spacing w:line="360" w:lineRule="auto"/>
        <w:ind w:firstLine="567"/>
        <w:jc w:val="both"/>
        <w:rPr>
          <w:b/>
          <w:sz w:val="28"/>
          <w:szCs w:val="28"/>
        </w:rPr>
      </w:pPr>
      <w:r>
        <w:rPr>
          <w:b/>
          <w:sz w:val="28"/>
          <w:szCs w:val="28"/>
        </w:rPr>
        <w:t>ВЗУ №6</w:t>
      </w:r>
    </w:p>
    <w:p>
      <w:pPr>
        <w:spacing w:line="360" w:lineRule="auto"/>
        <w:ind w:firstLine="567"/>
        <w:jc w:val="both"/>
        <w:rPr>
          <w:sz w:val="28"/>
          <w:szCs w:val="28"/>
        </w:rPr>
      </w:pPr>
      <w:r>
        <w:rPr>
          <w:sz w:val="28"/>
          <w:szCs w:val="28"/>
        </w:rPr>
        <w:t>Снабжает водой 1-ый мкр. г. Одинцово улицы Северная, Садовая, Молодежная, Красно-горское шоссе, Любы Новоселовой. Охват населения – 11274 человек.</w:t>
      </w:r>
    </w:p>
    <w:p>
      <w:pPr>
        <w:spacing w:line="360" w:lineRule="auto"/>
        <w:ind w:firstLine="567"/>
        <w:jc w:val="both"/>
        <w:rPr>
          <w:sz w:val="28"/>
          <w:szCs w:val="28"/>
        </w:rPr>
      </w:pPr>
      <w:r>
        <w:rPr>
          <w:sz w:val="28"/>
          <w:szCs w:val="28"/>
        </w:rPr>
        <w:t>ВЗУ №6  включает в себя скважины №6.1 и №6.2, которые расположены в здании насос-ной станции второго подъёма, два резервуара чистой воды по 1000 м3 и насосную станцию 2-го подъёма. Устья скважин оборудованы в соответствии с санитарно-гигиеническими требованиями: герметичными оголовками, кранами для отбора проб, манометрами и водомерами.</w:t>
      </w:r>
    </w:p>
    <w:p>
      <w:pPr>
        <w:spacing w:line="360" w:lineRule="auto"/>
        <w:ind w:firstLine="567"/>
        <w:jc w:val="both"/>
        <w:rPr>
          <w:sz w:val="28"/>
          <w:szCs w:val="28"/>
        </w:rPr>
      </w:pPr>
      <w:r>
        <w:rPr>
          <w:sz w:val="28"/>
          <w:szCs w:val="28"/>
        </w:rPr>
        <w:t xml:space="preserve">Электроснабжение ВЗУ №6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 </w:t>
      </w:r>
    </w:p>
    <w:p>
      <w:pPr>
        <w:spacing w:line="360" w:lineRule="auto"/>
        <w:ind w:firstLine="567"/>
        <w:jc w:val="both"/>
        <w:rPr>
          <w:sz w:val="28"/>
          <w:szCs w:val="28"/>
        </w:rPr>
      </w:pPr>
      <w:r>
        <w:rPr>
          <w:sz w:val="28"/>
          <w:szCs w:val="28"/>
        </w:rPr>
        <w:t>Вода, поднимаемая, со скважин поступает по трубопроводам Ду-100 мм в два резервуа-а, а затем при помощи станции второго подъёма вода поступает в сеть потребителям. Исходная вода поступает в городской водопровод без очистки. Максимальная фактическая средняя суточная производительность за 2017 год по ВЗУ №6 составила – 130,4 м3/ч, 3129 м3/сут. Фактическая производительность (водоотбор) по ВЗУ №6 не превышает суммарную проектную мощность скважин.</w:t>
      </w:r>
    </w:p>
    <w:p>
      <w:pPr>
        <w:spacing w:line="360" w:lineRule="auto"/>
        <w:ind w:firstLine="567"/>
        <w:jc w:val="both"/>
        <w:rPr>
          <w:sz w:val="28"/>
          <w:szCs w:val="28"/>
        </w:rPr>
      </w:pPr>
      <w:r>
        <w:rPr>
          <w:sz w:val="28"/>
          <w:szCs w:val="28"/>
        </w:rPr>
        <w:t>Насосная станция ВНС-6 запроектирована для внутригородского водоснабжения г. Одинцово и введена в эксплуатацию в 1975 году. Проектная документация на ВНС-6 отсутствует. Проектная производительность насосной станции – 9,36 тыс. м3/сут. Среднесуточный объём перекачиваемой воды составляет около 3,26 тыс. м3/сут. Процент износа здания насосной станции 2-го подъёма составляет 35%.</w:t>
      </w:r>
    </w:p>
    <w:p>
      <w:pPr>
        <w:spacing w:line="360" w:lineRule="auto"/>
        <w:ind w:firstLine="567"/>
        <w:jc w:val="both"/>
        <w:rPr>
          <w:sz w:val="28"/>
          <w:szCs w:val="28"/>
        </w:rPr>
      </w:pPr>
      <w:r>
        <w:rPr>
          <w:sz w:val="28"/>
          <w:szCs w:val="28"/>
        </w:rPr>
        <w:t>На ВНС-6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sz w:val="28"/>
          <w:szCs w:val="28"/>
        </w:rPr>
      </w:pPr>
      <w:r>
        <w:rPr>
          <w:sz w:val="28"/>
          <w:szCs w:val="28"/>
        </w:rPr>
        <w:t>Вода из скважины № 6.1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всем показателям, а из скважины № 6.2 не соответствует требованиям по содержанию железа и мутности. По результатам лабораторного контроля установлено, что исходная вода, подаваемая в сеть из резервуаров чистой воды по содержанию железа и мутности, не соответствует требованиям СанПиН 2.1.4.1074-01. Для достижения соответствия качества воды необходимо строительство на станции системы очистки и подготовки воды.</w:t>
      </w:r>
    </w:p>
    <w:p>
      <w:pPr>
        <w:spacing w:line="360" w:lineRule="auto"/>
        <w:ind w:firstLine="567"/>
        <w:jc w:val="both"/>
        <w:rPr>
          <w:b/>
          <w:sz w:val="28"/>
          <w:szCs w:val="28"/>
        </w:rPr>
      </w:pPr>
      <w:r>
        <w:rPr>
          <w:b/>
          <w:sz w:val="28"/>
          <w:szCs w:val="28"/>
        </w:rPr>
        <w:t>ВЗУ №7</w:t>
      </w:r>
    </w:p>
    <w:p>
      <w:pPr>
        <w:spacing w:line="360" w:lineRule="auto"/>
        <w:ind w:firstLine="567"/>
        <w:jc w:val="both"/>
        <w:rPr>
          <w:sz w:val="28"/>
          <w:szCs w:val="28"/>
        </w:rPr>
      </w:pPr>
      <w:r>
        <w:rPr>
          <w:sz w:val="28"/>
          <w:szCs w:val="28"/>
        </w:rPr>
        <w:t xml:space="preserve">Снабжает водой 3-ий мкр. г. Одинцово улицы Любы Новоселовой, Северная, Садовая, Маршала Жукова, Верехнее отрадное, Красногорское шоссе. Охват населения – 37320 человек. </w:t>
      </w:r>
    </w:p>
    <w:p>
      <w:pPr>
        <w:spacing w:line="360" w:lineRule="auto"/>
        <w:ind w:firstLine="567"/>
        <w:jc w:val="both"/>
        <w:rPr>
          <w:sz w:val="28"/>
          <w:szCs w:val="28"/>
        </w:rPr>
      </w:pPr>
      <w:r>
        <w:rPr>
          <w:sz w:val="28"/>
          <w:szCs w:val="28"/>
        </w:rPr>
        <w:t xml:space="preserve">ВЗУ №7 включает в себя скважины № 7.1 и № 7.2, расположенные в здании недействующей насосной станции второго подъема, два резервуара чистой воды по 5000 м3 каждый и два нерабочих резервуара по 1000 м3 каждый и насосную станцию 2-го подъёма. Устья скважин оборудованы в соответствии с санитарно-гигиеническими требованиями: герметичными оголовками, кранами для отбора проб, манометрами и водомерами. Скважины работают в автоматическом режиме круглогодично. </w:t>
      </w:r>
    </w:p>
    <w:p>
      <w:pPr>
        <w:spacing w:line="360" w:lineRule="auto"/>
        <w:ind w:firstLine="567"/>
        <w:jc w:val="both"/>
        <w:rPr>
          <w:sz w:val="28"/>
          <w:szCs w:val="28"/>
        </w:rPr>
      </w:pPr>
      <w:r>
        <w:rPr>
          <w:sz w:val="28"/>
          <w:szCs w:val="28"/>
        </w:rPr>
        <w:t>Электроснабжение ВЗУ №7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Технологическая схема ВЗУ №7 представлена на рисунке 33. Вода из артезианских скважин насосами типа ЭЦВ по трубопроводам Ду-100 мм поступает в два накопительных резервуара (резервуара чистой воды РЧВ), а затем по двухниточному трубопроводу Ду-600 мм подается в насосную станцию 2-го подъема ВНС-7. Кроме того, в резервуары чистой воды поступает вода и от двух групп сателлитов (обособленных скважин) по трубопроводам Ду-300 мм: сателлит «Верхнее Отрадное» и сателлит «Госпитальные». Сателлит «Верхнее Отрадное» (скважины № 7.3 и 7.3а) расположен по ул. Северная, д.17. Скважины располагаются в отдельных павильонах. Вода со скважин подается в РЧВ №1. Сателлит «Госпитальные» (скважины № 7.4 и №7.4а) находится по адресу Красногорское шоссе, д. 23. Скважины расположены в отдельных кирпичных павильонах. Павильоны находится в удовлетворительном санитарном состоянии. Вода со скважин поступает в РЧВ № 2. Максимальная фактическая средняя суточная производительность скважин за 2017 год по ВЗУ №7 составила – 244,45 м3/ч, 5866,7 м3/сут. Фактическая производительность (водоотбор) по скважинам ВЗУ №7 не превышает суммарую проектную мощность скважин.</w:t>
      </w:r>
    </w:p>
    <w:p>
      <w:pPr>
        <w:spacing w:line="360" w:lineRule="auto"/>
        <w:ind w:firstLine="567"/>
        <w:jc w:val="both"/>
        <w:rPr>
          <w:sz w:val="28"/>
          <w:szCs w:val="28"/>
        </w:rPr>
      </w:pPr>
      <w:r>
        <w:rPr>
          <w:sz w:val="28"/>
          <w:szCs w:val="28"/>
        </w:rPr>
        <w:t xml:space="preserve">Также ВЗУ № 7 осуществляет прием воды от Рублевской водопроводной станции по магистрали Д=900 мм. Вода поступает в резервуары чистой воды, где перемешивается с водой артезианских скважин. </w:t>
      </w:r>
    </w:p>
    <w:p>
      <w:pPr>
        <w:spacing w:line="360" w:lineRule="auto"/>
        <w:ind w:firstLine="567"/>
        <w:jc w:val="both"/>
        <w:rPr>
          <w:sz w:val="28"/>
          <w:szCs w:val="28"/>
        </w:rPr>
      </w:pPr>
      <w:r>
        <w:rPr>
          <w:sz w:val="28"/>
          <w:szCs w:val="28"/>
        </w:rPr>
        <w:t>После резервуаров чистой воды вода по двухниточному трубопроводу Ду-600 мм поступает в насосную станцию 2-го подъема ВНС-7 и далее при помощи станции второго подъёма вода подается в сеть потребителям. Насосная станция ВНС-7 запроектирована для внутригородского водоснабжения микрорайона 3 города Одинцово и введена в эксплуатацию в 1989 го-ду. Проектная производительность насосной станции – 49,68 тыс. м3/сут. Среднесуточный объём перекачиваемой воды составляет 10,35 тыс. м3/сут. Процент износа здания насосной станции 2-го подъёма составляет 25%. По результатам лабораторного контроля исходная вода, подаваемая в сеть из резервуаров чистой воды, по всем показателям соответствует требованиям СанПиН 2.1.4.1074-01.</w:t>
      </w:r>
    </w:p>
    <w:p>
      <w:pPr>
        <w:spacing w:line="360" w:lineRule="auto"/>
        <w:ind w:firstLine="567"/>
        <w:jc w:val="both"/>
        <w:rPr>
          <w:sz w:val="28"/>
          <w:szCs w:val="28"/>
        </w:rPr>
      </w:pPr>
      <w:r>
        <w:rPr>
          <w:sz w:val="28"/>
          <w:szCs w:val="28"/>
        </w:rPr>
        <w:t>На ВНС-7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b/>
          <w:sz w:val="28"/>
          <w:szCs w:val="28"/>
        </w:rPr>
      </w:pPr>
      <w:r>
        <w:rPr>
          <w:b/>
          <w:sz w:val="28"/>
          <w:szCs w:val="28"/>
        </w:rPr>
        <w:t>ВЗУ №8</w:t>
      </w:r>
    </w:p>
    <w:p>
      <w:pPr>
        <w:spacing w:line="360" w:lineRule="auto"/>
        <w:ind w:firstLine="567"/>
        <w:jc w:val="both"/>
        <w:rPr>
          <w:sz w:val="28"/>
          <w:szCs w:val="28"/>
        </w:rPr>
      </w:pPr>
      <w:r>
        <w:rPr>
          <w:sz w:val="28"/>
          <w:szCs w:val="28"/>
        </w:rPr>
        <w:t xml:space="preserve">Снабжает водой г. Одинцово 4 мкр., 5 мкр., 5А мкр. и 7 мкр. улицы Новоспортивная, Можайское шоссе, Чикина, Говорова, Вокзальная, Свободы, Маршала Крылова, Лесная. Охват населения – 33063 человек. ВЗУ №8 включает в себя скважины № 8.1 и № 8.2, два резервуара чистой воды по 10000 м3 каждый и два резервуара по 1000 м3 каждый и насосную станцию 2-го подъёма. Скважины расположены в отдельно стоящих кирпичных павильонах. Павильоны скважин находятся в удовлетворительном санитарном состоянии. Скважина № 8.1 не функционирует, насос вынут (вышел из строя). Скважина № 8.2 работает в автоматическом режиме круглогодично. Устья скважины № 8.2 оборудованы в соответствии с санитарно-гигиеническими требованиями: герметичным оголовком, краном для отбора проб, манометром и водомером. </w:t>
      </w:r>
    </w:p>
    <w:p>
      <w:pPr>
        <w:spacing w:line="360" w:lineRule="auto"/>
        <w:ind w:firstLine="567"/>
        <w:jc w:val="both"/>
        <w:rPr>
          <w:sz w:val="28"/>
          <w:szCs w:val="28"/>
        </w:rPr>
      </w:pPr>
      <w:r>
        <w:rPr>
          <w:sz w:val="28"/>
          <w:szCs w:val="28"/>
        </w:rPr>
        <w:t>Территория ВЗУ спланирована, подъездные дороги к сооружениям имеют асфальтовое покрытие. Электроснабжение ВЗУ №8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№8 составила – 91,2 м3/ч, 2189 м3/сут. Фактическая производительность (водоотбор) по ВЗУ №8 не превышает суммарную проектную мощность скважин.</w:t>
      </w:r>
    </w:p>
    <w:p>
      <w:pPr>
        <w:spacing w:line="360" w:lineRule="auto"/>
        <w:ind w:firstLine="567"/>
        <w:jc w:val="both"/>
        <w:rPr>
          <w:sz w:val="28"/>
          <w:szCs w:val="28"/>
        </w:rPr>
      </w:pPr>
      <w:r>
        <w:rPr>
          <w:sz w:val="28"/>
          <w:szCs w:val="28"/>
        </w:rPr>
        <w:t>Вода из артезианских скважин насосами типа ЭЦВ поступает в два накопительных резервуара (резервуара чистой воды РЧВ №1 и №2). Кроме того, в РЧВ № 1 и № 2, объемом 1000 м3, поступает вода от скважин сателлитов «Полевые» № 8.3 и № 8.4, расположенные на отдельной территории от основного ВЗУ№ 8 в отдельно стоящем кирпичном павильоне по ул. Чикина, д.5. Павильон находится в удовлетворительном санитарном состоянии. Устья скважин оборудованы в соответствии с санитарно-гигиеническими требованиями п.3.2.1.4, п.3.2.1.5 СанПин 2.1.1110-02, СП 2.1.5.1059 п. 3.3 (герметичным оголовком, на котором установлен кран для отбора проб, манометр, водомер).</w:t>
      </w:r>
    </w:p>
    <w:p>
      <w:pPr>
        <w:spacing w:line="360" w:lineRule="auto"/>
        <w:ind w:firstLine="567"/>
        <w:jc w:val="both"/>
        <w:rPr>
          <w:sz w:val="28"/>
          <w:szCs w:val="28"/>
        </w:rPr>
      </w:pPr>
      <w:r>
        <w:rPr>
          <w:sz w:val="28"/>
          <w:szCs w:val="28"/>
        </w:rPr>
        <w:t>Также, в резервуары чистой воды объемом два по 10000 м3 осуществляется подача воды от Рублевской водопроводной станции по магистрали Д=900 мм и далее перемешиваясь с поднятой водой из скважин при помощи станции второго подъёма ВНС-8 вода подается в сеть потребителям. Насосная станция ВНС-8 запроектирована для внутригородского водоснабжения микрорайона 4 города Одинцово и введена в эксплуатацию в 1973-1980 году. Проектная производительность насосной станции – 93,12 тыс. м3/сут. Среднесуточный объём перекачиваемой воды составляет 21,11 тыс. м3/сут. На ВНС-8 регулирование напора на выходе с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sz w:val="28"/>
          <w:szCs w:val="28"/>
        </w:rPr>
      </w:pPr>
      <w:r>
        <w:rPr>
          <w:sz w:val="28"/>
          <w:szCs w:val="28"/>
        </w:rPr>
        <w:t>По результатам лабораторного контроля вода из скважин и из резервуаров чистой воды, по всем показателям соответствует требованиям СанПиН 2.1.4.1074-01.</w:t>
      </w:r>
    </w:p>
    <w:p>
      <w:pPr>
        <w:spacing w:line="360" w:lineRule="auto"/>
        <w:ind w:firstLine="567"/>
        <w:jc w:val="both"/>
        <w:rPr>
          <w:b/>
          <w:sz w:val="28"/>
          <w:szCs w:val="28"/>
        </w:rPr>
      </w:pPr>
      <w:r>
        <w:rPr>
          <w:b/>
          <w:sz w:val="28"/>
          <w:szCs w:val="28"/>
        </w:rPr>
        <w:t>ВЗУ №9</w:t>
      </w:r>
    </w:p>
    <w:p>
      <w:pPr>
        <w:spacing w:line="360" w:lineRule="auto"/>
        <w:ind w:firstLine="567"/>
        <w:jc w:val="both"/>
        <w:rPr>
          <w:sz w:val="28"/>
          <w:szCs w:val="28"/>
        </w:rPr>
      </w:pPr>
      <w:r>
        <w:rPr>
          <w:sz w:val="28"/>
          <w:szCs w:val="28"/>
        </w:rPr>
        <w:t>Снабжает водой г. Одинцово 6 мкр., 6А мкр. улицы Вокзальная, Можайское шоссе, Ба-ковская, Маршала Толубко. Охват населения – 9190 человек. ВЗУ №9 включает в себя скваж-ны № 9.1 (затампонирована), № 9.2, а также скважины сателлиты «северные» №9.3 и № 9.4, два резервуара чистой воды по 3400 м3 и насосную станцию 2-го подъёма. Скважины расположены в отдельном кирпичном павильоне. Павильоны находятся в удовлетворительном санитарном состоянии. Устья скважин оборудованы в соответствии с санитарно-гигиеническими требованиями.</w:t>
      </w:r>
    </w:p>
    <w:p>
      <w:pPr>
        <w:spacing w:line="360" w:lineRule="auto"/>
        <w:ind w:firstLine="567"/>
        <w:jc w:val="both"/>
        <w:rPr>
          <w:sz w:val="28"/>
          <w:szCs w:val="28"/>
        </w:rPr>
      </w:pPr>
      <w:r>
        <w:rPr>
          <w:sz w:val="28"/>
          <w:szCs w:val="28"/>
        </w:rPr>
        <w:t>Электроснабжение ВЗУ №9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№9 составила – 72,48 м3/ч, 1139,5 м3/сут. Фактическая производительность (водоотбор) по ВЗУ №9 не превышает суммарную проектную мощность скважин.</w:t>
      </w:r>
    </w:p>
    <w:p>
      <w:pPr>
        <w:spacing w:line="360" w:lineRule="auto"/>
        <w:ind w:firstLine="567"/>
        <w:jc w:val="both"/>
        <w:rPr>
          <w:sz w:val="28"/>
          <w:szCs w:val="28"/>
        </w:rPr>
      </w:pPr>
      <w:r>
        <w:rPr>
          <w:sz w:val="28"/>
          <w:szCs w:val="28"/>
        </w:rPr>
        <w:t>Поднятая вода насосами ЭЦВ по трубопроводу подается в приемные резервуары ВНС-9. Качество подаваемой воды соответствует требованиям СанПин 2.1.4.1074-01 по всем показателям.</w:t>
      </w:r>
    </w:p>
    <w:p>
      <w:pPr>
        <w:spacing w:line="360" w:lineRule="auto"/>
        <w:ind w:firstLine="567"/>
        <w:jc w:val="both"/>
        <w:rPr>
          <w:sz w:val="28"/>
          <w:szCs w:val="28"/>
        </w:rPr>
      </w:pPr>
      <w:r>
        <w:rPr>
          <w:sz w:val="28"/>
          <w:szCs w:val="28"/>
        </w:rPr>
        <w:t>Насосная станция ВНС-9 введена в эксплуатацию в 2009 году. Проектная документация на насосную станцию имеется. Проектная производительность насосной станции – 9,22 тыс. м3/сут. Среднесуточный объём перекачиваемой воды составляет 2,6 тыс. м3/сут. Процент износа здания насосной станции 2-го подъема составляет 9%.</w:t>
      </w:r>
    </w:p>
    <w:p>
      <w:pPr>
        <w:spacing w:line="360" w:lineRule="auto"/>
        <w:ind w:firstLine="567"/>
        <w:jc w:val="both"/>
        <w:rPr>
          <w:sz w:val="28"/>
          <w:szCs w:val="28"/>
        </w:rPr>
      </w:pPr>
      <w:r>
        <w:rPr>
          <w:sz w:val="28"/>
          <w:szCs w:val="28"/>
        </w:rPr>
        <w:t>Также на ВЗУ №9 осуществляется подача воды от Рублевской водо-проводной станции по магистрали Д=900 мм, вода поступает в два резервуара чистой воды, где перемешивается с водой артезианских скважин и далее при помощи станции второго подъёма вода подается в сеть потребителям.</w:t>
      </w:r>
    </w:p>
    <w:p>
      <w:pPr>
        <w:spacing w:line="360" w:lineRule="auto"/>
        <w:ind w:firstLine="567"/>
        <w:jc w:val="both"/>
        <w:rPr>
          <w:sz w:val="28"/>
          <w:szCs w:val="28"/>
        </w:rPr>
      </w:pPr>
      <w:r>
        <w:rPr>
          <w:sz w:val="28"/>
          <w:szCs w:val="28"/>
        </w:rPr>
        <w:t>На ВНС-9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sz w:val="28"/>
          <w:szCs w:val="28"/>
        </w:rPr>
      </w:pPr>
      <w:r>
        <w:rPr>
          <w:sz w:val="28"/>
          <w:szCs w:val="28"/>
        </w:rPr>
        <w:t>По результатам лабораторного контроля установлено, что вода из резервуара чистой воды соответствует требованиям СанПиН 2.1.4.1074-01 по всем показателям.</w:t>
      </w:r>
    </w:p>
    <w:p>
      <w:pPr>
        <w:spacing w:line="360" w:lineRule="auto"/>
        <w:ind w:firstLine="567"/>
        <w:jc w:val="both"/>
        <w:rPr>
          <w:b/>
          <w:sz w:val="28"/>
          <w:szCs w:val="28"/>
        </w:rPr>
      </w:pPr>
      <w:r>
        <w:rPr>
          <w:b/>
          <w:sz w:val="28"/>
          <w:szCs w:val="28"/>
        </w:rPr>
        <w:t>ВЗУ №10</w:t>
      </w:r>
    </w:p>
    <w:p>
      <w:pPr>
        <w:spacing w:line="360" w:lineRule="auto"/>
        <w:ind w:firstLine="567"/>
        <w:jc w:val="both"/>
        <w:rPr>
          <w:sz w:val="28"/>
          <w:szCs w:val="28"/>
        </w:rPr>
      </w:pPr>
      <w:r>
        <w:rPr>
          <w:sz w:val="28"/>
          <w:szCs w:val="28"/>
        </w:rPr>
        <w:t>Снабжает водой 8 мкр., 9 мкр. г. Одинцово, д. Глазынино, улицы Маковского, Верхне-Пролетарская, Сосновая, Восточная, Глазынинская, Комсомольская, Солнечная, Союзная, Бе-лорусская. Охват населения – 17640 человек. ВЗУ №10 включает в себя скважины № 10.1 и № 10.2, два резервуара чистой воды по 500 м3 каждый, насосную станцию 2-го подъёма и станцию обезжелезивания. Скважины расположены в здании насосной станции второго подъёма. Устья скважин оборудованы в соответствии с санитарно-гигиеническими требованиями. Скважины работают в автоматическом режиме круглогодично.</w:t>
      </w:r>
    </w:p>
    <w:p>
      <w:pPr>
        <w:spacing w:line="360" w:lineRule="auto"/>
        <w:ind w:firstLine="567"/>
        <w:jc w:val="both"/>
        <w:rPr>
          <w:sz w:val="28"/>
          <w:szCs w:val="28"/>
        </w:rPr>
      </w:pPr>
      <w:r>
        <w:rPr>
          <w:sz w:val="28"/>
          <w:szCs w:val="28"/>
        </w:rPr>
        <w:t>Электроснабжение ВЗУ №10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№10 составила – 181,1 м3/ч, 4347,5 м3/сутки. Фактическая производительность (водоотбор) по ВЗУ №10 не превышает суммарную проектную мощность скважин.</w:t>
      </w:r>
    </w:p>
    <w:p>
      <w:pPr>
        <w:spacing w:line="360" w:lineRule="auto"/>
        <w:ind w:firstLine="567"/>
        <w:jc w:val="both"/>
        <w:rPr>
          <w:sz w:val="28"/>
          <w:szCs w:val="28"/>
        </w:rPr>
      </w:pPr>
      <w:r>
        <w:rPr>
          <w:sz w:val="28"/>
          <w:szCs w:val="28"/>
        </w:rPr>
        <w:t>Вода, поднимаемая с артезианских скважин, пройдя водоподготовку на станции обезжелезивания, поступает в два резервуара чистой воды и далее при помощи станции второго подъёма ВНС-10, подается в сеть потребителям.</w:t>
      </w:r>
    </w:p>
    <w:p>
      <w:pPr>
        <w:spacing w:line="360" w:lineRule="auto"/>
        <w:ind w:firstLine="567"/>
        <w:jc w:val="both"/>
        <w:rPr>
          <w:sz w:val="28"/>
          <w:szCs w:val="28"/>
        </w:rPr>
      </w:pPr>
      <w:r>
        <w:rPr>
          <w:sz w:val="28"/>
          <w:szCs w:val="28"/>
        </w:rPr>
        <w:t>Насосная станция ВНС-10 введена в эксплуатацию в 2074 году и запроектирована для водоснабжения д. Глазынино и г. Одинцово. Проектная производительность насосной станции – 23,04 тыс. м3/сут. Среднесуточный объём перекачиваемой воды составляет 2,66 тыс. м3/сут. Процент износа здания насосной станции 2-го подъёма составляет 20%.</w:t>
      </w:r>
    </w:p>
    <w:p>
      <w:pPr>
        <w:spacing w:line="360" w:lineRule="auto"/>
        <w:ind w:firstLine="567"/>
        <w:jc w:val="both"/>
        <w:rPr>
          <w:sz w:val="28"/>
          <w:szCs w:val="28"/>
        </w:rPr>
      </w:pPr>
      <w:r>
        <w:rPr>
          <w:sz w:val="28"/>
          <w:szCs w:val="28"/>
        </w:rPr>
        <w:t>На ВНС-10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sz w:val="28"/>
          <w:szCs w:val="28"/>
        </w:rPr>
      </w:pPr>
      <w:r>
        <w:rPr>
          <w:sz w:val="28"/>
          <w:szCs w:val="28"/>
        </w:rPr>
        <w:t>По результатам лабораторного контроля установлено, что вода из скважины №10.1 не соответствует требованиям СанПиН 2.1.4.1074-01 по содержанию железа и мутности, а из скважины № 10.2 и резервуара чистой воды соответствует требованиям СанПиН 2.1.4.1074-01 по всем показателям.</w:t>
      </w:r>
    </w:p>
    <w:p>
      <w:pPr>
        <w:spacing w:line="360" w:lineRule="auto"/>
        <w:ind w:firstLine="567"/>
        <w:jc w:val="both"/>
        <w:rPr>
          <w:b/>
          <w:sz w:val="28"/>
          <w:szCs w:val="28"/>
        </w:rPr>
      </w:pPr>
      <w:r>
        <w:rPr>
          <w:b/>
          <w:sz w:val="28"/>
          <w:szCs w:val="28"/>
        </w:rPr>
        <w:t>ВЗУ «Трехгорка» 1-я очередь</w:t>
      </w:r>
    </w:p>
    <w:p>
      <w:pPr>
        <w:spacing w:line="360" w:lineRule="auto"/>
        <w:ind w:firstLine="567"/>
        <w:jc w:val="both"/>
        <w:rPr>
          <w:sz w:val="28"/>
          <w:szCs w:val="28"/>
        </w:rPr>
      </w:pPr>
      <w:r>
        <w:rPr>
          <w:sz w:val="28"/>
          <w:szCs w:val="28"/>
        </w:rPr>
        <w:t>ВЗУ «Трехгорка» 1-я очередь включает в себя две скважины № 1 и № 2, два резервуара чистой воды по 500 м3 каждый и насосную станцию 2-го подъёма. Вода со скважин поступает в два резервуара, а затем при помощи станции второго подъёма вода поступает в сеть потребителям. Также на ВЗУ «Трехгорка» 1-я очередь осуществляется подача воды от Рублевской водопроводной станции по магистрали Д=900 мм, вода поступает в резервуары чистой воды, где перемешивается с водой артезианских скважин и далее при помощи станции второго подъёма ВНС-2 вода подается в сеть потребителям.</w:t>
      </w:r>
    </w:p>
    <w:p>
      <w:pPr>
        <w:spacing w:line="360" w:lineRule="auto"/>
        <w:ind w:firstLine="567"/>
        <w:jc w:val="both"/>
        <w:rPr>
          <w:sz w:val="28"/>
          <w:szCs w:val="28"/>
        </w:rPr>
      </w:pPr>
      <w:r>
        <w:rPr>
          <w:sz w:val="28"/>
          <w:szCs w:val="28"/>
        </w:rPr>
        <w:t>Электроснабжение ВЗУ «Трехгорка» 1-я очередь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 xml:space="preserve">Максимальная фактическая средняя суточная производительность за 2017 год по ВЗУ «Трехгорка» 1-я очередь, по данным эксплуатирующей организации составила – 0 м3/ч, 0 м3/сут. </w:t>
      </w:r>
    </w:p>
    <w:p>
      <w:pPr>
        <w:spacing w:line="360" w:lineRule="auto"/>
        <w:ind w:firstLine="567"/>
        <w:jc w:val="both"/>
        <w:rPr>
          <w:sz w:val="28"/>
          <w:szCs w:val="28"/>
        </w:rPr>
      </w:pPr>
      <w:r>
        <w:rPr>
          <w:sz w:val="28"/>
          <w:szCs w:val="28"/>
        </w:rPr>
        <w:t>В тоже время, от Рублевской водопроводной станции было получено воды за 2017 год – 1607309 м3, 4403,6 м3/сут., 183,48 м3/ч, что превышает фактическую суммарную проектную мощность скважин ВЗУ «Трехгорка» 1-я очередь (85 м3/ч).</w:t>
      </w:r>
    </w:p>
    <w:p>
      <w:pPr>
        <w:spacing w:line="360" w:lineRule="auto"/>
        <w:ind w:firstLine="567"/>
        <w:jc w:val="both"/>
        <w:rPr>
          <w:sz w:val="28"/>
          <w:szCs w:val="28"/>
        </w:rPr>
      </w:pPr>
      <w:r>
        <w:rPr>
          <w:sz w:val="28"/>
          <w:szCs w:val="28"/>
        </w:rPr>
        <w:t>Насосная станция второго подъема запроектирована для водоснабжения микрорайона «Кутузовский» г. Одинцово. Год ввода в насосной станции в эксплуатацию – 2005 год. Проектная производительность насосной станции – 25,92 тыс. м3/сут. Процент износа здания насос-ной станции 2-го подъёма составляет 8%.</w:t>
      </w:r>
    </w:p>
    <w:p>
      <w:pPr>
        <w:spacing w:line="360" w:lineRule="auto"/>
        <w:ind w:firstLine="567"/>
        <w:jc w:val="both"/>
        <w:rPr>
          <w:sz w:val="28"/>
          <w:szCs w:val="28"/>
        </w:rPr>
      </w:pPr>
      <w:r>
        <w:rPr>
          <w:sz w:val="28"/>
          <w:szCs w:val="28"/>
        </w:rPr>
        <w:t>Технологический процесс перекачки вод на ВНС «Трехгорка» 1-я очередь состоит из следующих основных стадий: прием воды от артезианских скважин и московского водовода в накопительные резервуары, регулирование уровня воды в резервуарах, контроль качества воды по санитарным показателям согласно графику и перекачка воды из резервуаров в напорные водоводы потребителям.</w:t>
      </w:r>
    </w:p>
    <w:p>
      <w:pPr>
        <w:spacing w:line="360" w:lineRule="auto"/>
        <w:ind w:firstLine="567"/>
        <w:jc w:val="both"/>
        <w:rPr>
          <w:sz w:val="28"/>
          <w:szCs w:val="28"/>
        </w:rPr>
      </w:pPr>
      <w:r>
        <w:rPr>
          <w:sz w:val="28"/>
          <w:szCs w:val="28"/>
        </w:rPr>
        <w:t>Регулирование напора на выходе с водонапорной станции осуществляется в автоматическом режиме, применением частотно-регулируемых приводов.</w:t>
      </w:r>
    </w:p>
    <w:p>
      <w:pPr>
        <w:spacing w:line="360" w:lineRule="auto"/>
        <w:ind w:firstLine="567"/>
        <w:jc w:val="both"/>
        <w:rPr>
          <w:b/>
          <w:sz w:val="28"/>
          <w:szCs w:val="28"/>
        </w:rPr>
      </w:pPr>
      <w:r>
        <w:rPr>
          <w:b/>
          <w:sz w:val="28"/>
          <w:szCs w:val="28"/>
        </w:rPr>
        <w:t>ВЗУ «Трехгорка» 2-я очередь</w:t>
      </w:r>
    </w:p>
    <w:p>
      <w:pPr>
        <w:spacing w:line="360" w:lineRule="auto"/>
        <w:ind w:firstLine="567"/>
        <w:jc w:val="both"/>
        <w:rPr>
          <w:sz w:val="28"/>
          <w:szCs w:val="28"/>
        </w:rPr>
      </w:pPr>
      <w:r>
        <w:rPr>
          <w:sz w:val="28"/>
          <w:szCs w:val="28"/>
        </w:rPr>
        <w:t>ВЗУ «Трехгорка» 2-я очередь включает в себя четыре скважины № 1, № 2, №3 и №4, два резервуара чистой воды по 3800 м3 каждый и насосную станцию 2-го подъёма. Также на ВЗУ «Трехгорка» 2-я очередь осуществляется подача воды от Рублевской водопроводной станции. По данным эксплуатирующей организации за 2017 год от Рублевской водопроводной станции было получено воды 584476 м3, 1601,3 м3/сут., 66,72 м3/ч. Максимальная фактическая средняя суточная производительность за 2017 год по ВЗУ «Трехгорка» 2-я очередь, по данным эксплуатирующей организации составила – 0 м3/ч, 0 м3/сут.</w:t>
      </w:r>
    </w:p>
    <w:p>
      <w:pPr>
        <w:spacing w:line="360" w:lineRule="auto"/>
        <w:ind w:firstLine="567"/>
        <w:jc w:val="both"/>
        <w:rPr>
          <w:sz w:val="28"/>
          <w:szCs w:val="28"/>
        </w:rPr>
      </w:pPr>
      <w:r>
        <w:rPr>
          <w:sz w:val="28"/>
          <w:szCs w:val="28"/>
        </w:rPr>
        <w:t>Насосная станция второго подъема запроектирована для водоснабжения микрорайона Новая Трехгорка г. Одинцово.</w:t>
      </w:r>
    </w:p>
    <w:p>
      <w:pPr>
        <w:spacing w:line="360" w:lineRule="auto"/>
        <w:ind w:firstLine="567"/>
        <w:jc w:val="both"/>
        <w:rPr>
          <w:sz w:val="28"/>
          <w:szCs w:val="28"/>
        </w:rPr>
      </w:pPr>
      <w:r>
        <w:rPr>
          <w:sz w:val="28"/>
          <w:szCs w:val="28"/>
        </w:rPr>
        <w:t>Регулирование напора на выходе с водонапорной станции осуществляется в автоматичеком режиме, применением частотно-регулируемых приводов.</w:t>
      </w:r>
    </w:p>
    <w:p>
      <w:pPr>
        <w:spacing w:line="360" w:lineRule="auto"/>
        <w:ind w:firstLine="567"/>
        <w:jc w:val="both"/>
        <w:rPr>
          <w:b/>
          <w:sz w:val="28"/>
          <w:szCs w:val="28"/>
        </w:rPr>
      </w:pPr>
      <w:r>
        <w:rPr>
          <w:b/>
          <w:sz w:val="28"/>
          <w:szCs w:val="28"/>
        </w:rPr>
        <w:t>ВЗУ Переделкино</w:t>
      </w:r>
    </w:p>
    <w:p>
      <w:pPr>
        <w:spacing w:line="360" w:lineRule="auto"/>
        <w:ind w:firstLine="567"/>
        <w:jc w:val="both"/>
        <w:rPr>
          <w:sz w:val="28"/>
          <w:szCs w:val="28"/>
        </w:rPr>
      </w:pPr>
      <w:r>
        <w:rPr>
          <w:sz w:val="28"/>
          <w:szCs w:val="28"/>
        </w:rPr>
        <w:t>ВЗУ д. Переделки включает в себя две скважины № 11.1 и № 11.2, насосную станцию 2-го подъёма. Электроснабжение ВЗУ Переделкино осуществляется по одному вводу. Резервное электроснабжение – не предусмотрено.</w:t>
      </w:r>
    </w:p>
    <w:p>
      <w:pPr>
        <w:spacing w:line="360" w:lineRule="auto"/>
        <w:ind w:firstLine="567"/>
        <w:jc w:val="both"/>
        <w:rPr>
          <w:sz w:val="28"/>
          <w:szCs w:val="28"/>
        </w:rPr>
      </w:pPr>
      <w:r>
        <w:rPr>
          <w:sz w:val="28"/>
          <w:szCs w:val="28"/>
        </w:rPr>
        <w:t>Насосы первого подъёма подают из артезианских скважин холодную воду в накопительные резервуары (РЧВ). Из накопительных резервуаров, чистая вода, насосными станциями второго подъёма подаётся в централизованную систему водоснабжения.</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Переделкино, по данным эксплуатирующей организации, составила – 3,4 м3/ч, 48,6 м3/сут., что не превышает суммарную проектную мощность скважин.</w:t>
      </w:r>
    </w:p>
    <w:p>
      <w:pPr>
        <w:spacing w:line="360" w:lineRule="auto"/>
        <w:ind w:firstLine="567"/>
        <w:jc w:val="both"/>
        <w:rPr>
          <w:b/>
          <w:sz w:val="28"/>
          <w:szCs w:val="28"/>
        </w:rPr>
      </w:pPr>
      <w:r>
        <w:rPr>
          <w:b/>
          <w:sz w:val="28"/>
          <w:szCs w:val="28"/>
        </w:rPr>
        <w:t>ВЗУ Микрорайон Одинцово-1</w:t>
      </w:r>
    </w:p>
    <w:p>
      <w:pPr>
        <w:spacing w:line="360" w:lineRule="auto"/>
        <w:ind w:firstLine="567"/>
        <w:jc w:val="both"/>
        <w:rPr>
          <w:sz w:val="28"/>
          <w:szCs w:val="28"/>
        </w:rPr>
      </w:pPr>
      <w:r>
        <w:rPr>
          <w:sz w:val="28"/>
          <w:szCs w:val="28"/>
        </w:rPr>
        <w:t>ВЗУ Микрорайон Одинцово-1 включает в себя две скважины № 1 и №2, один резервуар чистой воды 150 м3 и один резервуар – 100 м3, водонапорную башню, которая не используется и насосную станцию 2-го подъёма. Электроснабжение ВЗУ Одинцово-1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ВЗУ в данной технологической зоне имеют схожую типовую технологическую схему (см. рисунок 16): насосы первого подъёма подают из артезианских скважин холодную воду в накопительные резервуары (РЧВ). Из накопительных резервуаров, чистая вода, насосными станциями второго подъёма подаётся в централизованную систему водоснабжения.</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данным эксплуатирующей организации, составила – 83,8 м3/ч, 1197,6 м3/сут., что не превышает суммарную проектную мощность скважин.</w:t>
      </w:r>
    </w:p>
    <w:p>
      <w:pPr>
        <w:spacing w:line="360" w:lineRule="auto"/>
        <w:ind w:firstLine="567"/>
        <w:jc w:val="both"/>
        <w:rPr>
          <w:b/>
          <w:sz w:val="28"/>
          <w:szCs w:val="28"/>
        </w:rPr>
      </w:pPr>
      <w:r>
        <w:rPr>
          <w:b/>
          <w:sz w:val="28"/>
          <w:szCs w:val="28"/>
        </w:rPr>
        <w:t>АО "Одинцовская теплосеть"</w:t>
      </w:r>
    </w:p>
    <w:p>
      <w:pPr>
        <w:spacing w:line="360" w:lineRule="auto"/>
        <w:ind w:firstLine="567"/>
        <w:jc w:val="both"/>
        <w:rPr>
          <w:b/>
          <w:sz w:val="28"/>
          <w:szCs w:val="28"/>
        </w:rPr>
      </w:pPr>
      <w:r>
        <w:rPr>
          <w:b/>
          <w:sz w:val="28"/>
          <w:szCs w:val="28"/>
        </w:rPr>
        <w:t>ВЗУ № 4 «Немчиновка»</w:t>
      </w:r>
    </w:p>
    <w:p>
      <w:pPr>
        <w:spacing w:line="360" w:lineRule="auto"/>
        <w:ind w:firstLine="567"/>
        <w:jc w:val="both"/>
        <w:rPr>
          <w:sz w:val="28"/>
          <w:szCs w:val="28"/>
        </w:rPr>
      </w:pPr>
      <w:r>
        <w:rPr>
          <w:sz w:val="28"/>
          <w:szCs w:val="28"/>
        </w:rPr>
        <w:t xml:space="preserve">ВЗУ № 4 «Немчиновка» включает в себя две скважины № 1/57 и № 1/70, два резервуара чистой воды по 150 м3, каждый и насосную станцию 2-го подъёма. </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№4 «Немчиновка» составила – 35,07 м3/ч, 841,7 м3/сут. Фактическая производительность (водоотбор) по ВЗУ №4 «Немчиновка» не превышает суммарную проектную мощность скважин.</w:t>
      </w:r>
    </w:p>
    <w:p>
      <w:pPr>
        <w:spacing w:line="360" w:lineRule="auto"/>
        <w:ind w:firstLine="567"/>
        <w:jc w:val="both"/>
        <w:rPr>
          <w:sz w:val="28"/>
          <w:szCs w:val="28"/>
        </w:rPr>
      </w:pPr>
      <w:r>
        <w:rPr>
          <w:sz w:val="28"/>
          <w:szCs w:val="28"/>
        </w:rPr>
        <w:t>Электроснабжение ВЗУ №4 «Немчиновка»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Насосная станция ВНС-4 «Немчиновка» введена в эксплуатацию в 1954 году и запроектирована для водоснабжения п. Немчиновка, г. Одинцово. Проектная производительность насосной станции – 3,48 тыс. м3/сут. Среднесуточный объём перекачиваемой воды составляет 0,5 тыс. м3/сут. Процент износа здания насосной станции 2-го подъёма составляет 35%.</w:t>
      </w:r>
    </w:p>
    <w:p>
      <w:pPr>
        <w:spacing w:line="360" w:lineRule="auto"/>
        <w:ind w:firstLine="567"/>
        <w:jc w:val="both"/>
        <w:rPr>
          <w:sz w:val="28"/>
          <w:szCs w:val="28"/>
        </w:rPr>
      </w:pPr>
      <w:r>
        <w:rPr>
          <w:sz w:val="28"/>
          <w:szCs w:val="28"/>
        </w:rPr>
        <w:t>На ВНС-4 «Немчиновка» регулирование напора на выходе из станции осуществляется дежурным персоналом станции изменением подачи работающих насосов, в зависимости от давления в сети.</w:t>
      </w:r>
    </w:p>
    <w:p>
      <w:pPr>
        <w:spacing w:line="360" w:lineRule="auto"/>
        <w:ind w:firstLine="567"/>
        <w:jc w:val="both"/>
        <w:rPr>
          <w:b/>
          <w:sz w:val="28"/>
          <w:szCs w:val="28"/>
        </w:rPr>
      </w:pPr>
      <w:r>
        <w:rPr>
          <w:b/>
          <w:sz w:val="28"/>
          <w:szCs w:val="28"/>
        </w:rPr>
        <w:t>«Верхнее Ромашково»</w:t>
      </w:r>
    </w:p>
    <w:p>
      <w:pPr>
        <w:spacing w:line="360" w:lineRule="auto"/>
        <w:ind w:firstLine="567"/>
        <w:jc w:val="both"/>
        <w:rPr>
          <w:sz w:val="28"/>
          <w:szCs w:val="28"/>
        </w:rPr>
      </w:pPr>
      <w:r>
        <w:rPr>
          <w:sz w:val="28"/>
          <w:szCs w:val="28"/>
        </w:rPr>
        <w:t>В верхнем Ромашкове функционируют два ВЗУ №5 и №7. которые снабжают водой потребителей с. Ромашково и с. Немчиновка улицы Советская, Ноздрюхина, Раздоровская, Московская. Охват населения – 1200 человек.</w:t>
      </w:r>
    </w:p>
    <w:p>
      <w:pPr>
        <w:spacing w:line="360" w:lineRule="auto"/>
        <w:ind w:firstLine="567"/>
        <w:jc w:val="both"/>
        <w:rPr>
          <w:b/>
          <w:sz w:val="28"/>
          <w:szCs w:val="28"/>
        </w:rPr>
      </w:pPr>
      <w:r>
        <w:rPr>
          <w:b/>
          <w:sz w:val="28"/>
          <w:szCs w:val="28"/>
        </w:rPr>
        <w:t>ВЗУ №5 «Верхнее Ромашково»</w:t>
      </w:r>
    </w:p>
    <w:p>
      <w:pPr>
        <w:spacing w:line="360" w:lineRule="auto"/>
        <w:ind w:firstLine="567"/>
        <w:jc w:val="both"/>
        <w:rPr>
          <w:sz w:val="28"/>
          <w:szCs w:val="28"/>
        </w:rPr>
      </w:pPr>
      <w:r>
        <w:rPr>
          <w:sz w:val="28"/>
          <w:szCs w:val="28"/>
        </w:rPr>
        <w:t>ВЗУ №5 «Верхнее Ромашково» включает в себя одну скважину № 9 (резервная), резервуар чистой воды объёмом 15 м3 и насосную станцию 2-го подъёма. Вода со скважины поступает в РЧВ, далее при помощи насосной станции второго подъёма подается в сеть потребителям.</w:t>
      </w:r>
    </w:p>
    <w:p>
      <w:pPr>
        <w:spacing w:line="360" w:lineRule="auto"/>
        <w:ind w:firstLine="567"/>
        <w:jc w:val="both"/>
        <w:rPr>
          <w:sz w:val="28"/>
          <w:szCs w:val="28"/>
        </w:rPr>
      </w:pPr>
      <w:r>
        <w:rPr>
          <w:sz w:val="28"/>
          <w:szCs w:val="28"/>
        </w:rPr>
        <w:t>Электроснабжение ВЗУ №5 «Верхнее Ромашково»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b/>
          <w:sz w:val="28"/>
          <w:szCs w:val="28"/>
        </w:rPr>
      </w:pPr>
      <w:r>
        <w:rPr>
          <w:b/>
          <w:sz w:val="28"/>
          <w:szCs w:val="28"/>
        </w:rPr>
        <w:t>ВЗУ №7 «Верхнее Ромашково»</w:t>
      </w:r>
    </w:p>
    <w:p>
      <w:pPr>
        <w:spacing w:line="360" w:lineRule="auto"/>
        <w:ind w:firstLine="567"/>
        <w:jc w:val="both"/>
        <w:rPr>
          <w:sz w:val="28"/>
          <w:szCs w:val="28"/>
        </w:rPr>
      </w:pPr>
      <w:r>
        <w:rPr>
          <w:sz w:val="28"/>
          <w:szCs w:val="28"/>
        </w:rPr>
        <w:t>ВЗУ №7 «Верхнее Ромашково» включает в себя одну скважину №10 и водонапорную башню. Вода со скважин поступает в водонапорную башню, далее подается в сеть потребителям.</w:t>
      </w:r>
    </w:p>
    <w:p>
      <w:pPr>
        <w:spacing w:line="360" w:lineRule="auto"/>
        <w:ind w:firstLine="567"/>
        <w:jc w:val="both"/>
        <w:rPr>
          <w:sz w:val="28"/>
          <w:szCs w:val="28"/>
        </w:rPr>
      </w:pPr>
      <w:r>
        <w:rPr>
          <w:sz w:val="28"/>
          <w:szCs w:val="28"/>
        </w:rPr>
        <w:t>Электроснабжение ВЗУ №7 «Верхнее Ромашково»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Технологическая схема водоснабжения типовая и представлена на рисунке 16. Максимальная фактическая средняя суточная производительность за 2017 год по ВЗУ №7 «Верхнее Ромашково» составила – 7,01 м3/ч, 168,2 м3/сут. Фактическая производительность (водоотбор) по ВЗУ №7 «Верхнее  Ромашково» не превышает суммарную проектную мощность скважины.</w:t>
      </w:r>
    </w:p>
    <w:p>
      <w:pPr>
        <w:spacing w:line="360" w:lineRule="auto"/>
        <w:ind w:firstLine="567"/>
        <w:jc w:val="both"/>
        <w:rPr>
          <w:sz w:val="28"/>
          <w:szCs w:val="28"/>
        </w:rPr>
      </w:pPr>
      <w:r>
        <w:rPr>
          <w:sz w:val="28"/>
          <w:szCs w:val="28"/>
        </w:rPr>
        <w:t>Кроме того, в состав ВЗУ №7 «Верхнее Ромашково» входит повысительная насосная станция (ул. Раздоровская), веденная в эксплуатацию 2006 году.</w:t>
      </w:r>
    </w:p>
    <w:p>
      <w:pPr>
        <w:spacing w:line="360" w:lineRule="auto"/>
        <w:ind w:firstLine="567"/>
        <w:jc w:val="both"/>
        <w:rPr>
          <w:b/>
          <w:sz w:val="28"/>
          <w:szCs w:val="28"/>
        </w:rPr>
      </w:pPr>
      <w:r>
        <w:rPr>
          <w:b/>
          <w:sz w:val="28"/>
          <w:szCs w:val="28"/>
        </w:rPr>
        <w:t>ВЗУ №6 «Нижнее Ромашково»</w:t>
      </w:r>
    </w:p>
    <w:p>
      <w:pPr>
        <w:spacing w:line="360" w:lineRule="auto"/>
        <w:ind w:firstLine="567"/>
        <w:jc w:val="both"/>
        <w:rPr>
          <w:sz w:val="28"/>
          <w:szCs w:val="28"/>
        </w:rPr>
      </w:pPr>
      <w:r>
        <w:rPr>
          <w:sz w:val="28"/>
          <w:szCs w:val="28"/>
        </w:rPr>
        <w:t>Снабжает водой потребителей с. Ромашково улицы Центральная, проспект Революции, Советский проспект. Охват населения – 520 человек. ВЗУ №6 «Нижнее Ромашково» включает в себе две скважины №7 и №8 и водонапорную башню объемом 30 м3. Вода со скважин поступает в водонапорную башню, далее подается в сеть потребителям.</w:t>
      </w:r>
    </w:p>
    <w:p>
      <w:pPr>
        <w:spacing w:line="360" w:lineRule="auto"/>
        <w:ind w:firstLine="567"/>
        <w:jc w:val="both"/>
        <w:rPr>
          <w:sz w:val="28"/>
          <w:szCs w:val="28"/>
        </w:rPr>
      </w:pPr>
      <w:r>
        <w:rPr>
          <w:sz w:val="28"/>
          <w:szCs w:val="28"/>
        </w:rPr>
        <w:t>Электроснабжение ВЗУ №6 «Нижнее Ромашково» осуществляется от городских электрических сетей, обслуживаемых АО «Одинцовская электросеть» по одному вводу. Резервное электроснабжение – не предусмотрено.</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№6 «Нижнее Ромашково» составила – 5,61 м3/ч, 134,7 м3/сут. Фактическая производительность (водоотбор) по ВЗУ №6 «Нижнее  Ромашково» не превышает суммарную проектную мощность скважин.</w:t>
      </w:r>
    </w:p>
    <w:p>
      <w:pPr>
        <w:spacing w:line="360" w:lineRule="auto"/>
        <w:ind w:firstLine="567"/>
        <w:jc w:val="both"/>
        <w:rPr>
          <w:b/>
          <w:sz w:val="28"/>
          <w:szCs w:val="28"/>
        </w:rPr>
      </w:pPr>
      <w:r>
        <w:rPr>
          <w:b/>
          <w:sz w:val="28"/>
          <w:szCs w:val="28"/>
        </w:rPr>
        <w:t>ООО "Теплосервис-М"</w:t>
      </w:r>
    </w:p>
    <w:p>
      <w:pPr>
        <w:spacing w:line="360" w:lineRule="auto"/>
        <w:ind w:firstLine="567"/>
        <w:jc w:val="both"/>
        <w:rPr>
          <w:sz w:val="28"/>
          <w:szCs w:val="28"/>
        </w:rPr>
      </w:pPr>
      <w:r>
        <w:rPr>
          <w:sz w:val="28"/>
          <w:szCs w:val="28"/>
        </w:rPr>
        <w:t>ВЗУ ООО «ФСК «Лидер» квартала Сколковский предназначено для хозяйственно-питьевого водоснабжения многоэтажной жилой застройки с объектами социально-культурного, торгового и бытового назначения, школы, детского сада. ВЗУ включает в себя: три артезианских скважины (два рабочие и одна резервная), насосную станцию 2 подъёма со станцией обезжелезивания и РЧВ. Система водоснабжения относится к первой категории по степени обеспеченности подачи воды потребителям согласно п. 7.4 СП 31.13330.2012.</w:t>
      </w:r>
    </w:p>
    <w:p>
      <w:pPr>
        <w:spacing w:line="360" w:lineRule="auto"/>
        <w:ind w:firstLine="567"/>
        <w:jc w:val="both"/>
        <w:rPr>
          <w:sz w:val="28"/>
          <w:szCs w:val="28"/>
        </w:rPr>
      </w:pPr>
      <w:r>
        <w:rPr>
          <w:sz w:val="28"/>
          <w:szCs w:val="28"/>
        </w:rPr>
        <w:t>Исходная вода из скважин №1 и №3 Алексинско - Протвинского водоносного горизонта подается на ВЗУ насосами производительностью 110 м3/ч, работающими попеременно, по двум трубопроводам диаметром Ду 150.</w:t>
      </w:r>
    </w:p>
    <w:p>
      <w:pPr>
        <w:spacing w:line="360" w:lineRule="auto"/>
        <w:ind w:firstLine="567"/>
        <w:jc w:val="both"/>
        <w:rPr>
          <w:sz w:val="28"/>
          <w:szCs w:val="28"/>
        </w:rPr>
      </w:pPr>
      <w:r>
        <w:rPr>
          <w:sz w:val="28"/>
          <w:szCs w:val="28"/>
        </w:rPr>
        <w:t>Исходная вода из Скважин №№1, 3 Алексинско-Протвинского водоносного горизонта очищается от мутности и железа на установке фильтровальной "Aspect-Water-F2" производительностью 110 м3/ч. Установка "Aspect-Water-F2" состоит из: фланцевого грязевого фильтра, системы напорной аэрации, 12 осветлительно-сорбционных фильтров, комплекта обвязочных материалов и рамных конструкций.</w:t>
      </w:r>
    </w:p>
    <w:p>
      <w:pPr>
        <w:spacing w:line="360" w:lineRule="auto"/>
        <w:ind w:firstLine="567"/>
        <w:jc w:val="both"/>
        <w:rPr>
          <w:sz w:val="28"/>
          <w:szCs w:val="28"/>
        </w:rPr>
      </w:pPr>
      <w:r>
        <w:rPr>
          <w:sz w:val="28"/>
          <w:szCs w:val="28"/>
        </w:rPr>
        <w:t>Исходная вода из Скважины №2 Подольско-Мячковского водоносного горизонта очищается от мутности и железа на установке фильтровальной "Aspect-Water-F1" производительно-стью 32 м3/ч. Установка "Aspect-Water-F1" состоит из: фланцевого грязевого фильтра, системы напорной аэрации, 6 осветлительно-сорбционных фильтров, комплекта обвязочных материалов и рамных конструкций.</w:t>
      </w:r>
    </w:p>
    <w:p>
      <w:pPr>
        <w:spacing w:line="360" w:lineRule="auto"/>
        <w:ind w:firstLine="567"/>
        <w:jc w:val="both"/>
        <w:rPr>
          <w:sz w:val="28"/>
          <w:szCs w:val="28"/>
        </w:rPr>
      </w:pPr>
      <w:r>
        <w:rPr>
          <w:sz w:val="28"/>
          <w:szCs w:val="28"/>
        </w:rPr>
        <w:t>Исходная скважинная вода проходит предварительную очистку на фланцевом грязевом фильтре от крупнодисперсных частиц, таких как уплотнительные материалы, металлическая стружка, ржавчина, песок и т.п. После грязевого фильтра установлена система напорной аэрации, которая предназначена для окисления железа в очищаемой воде. При окислении кислоро-дом воздуха железо переходит в нерастворимую форму, и поэтому легко удаляется на осветлительно- сорбционных фильтрах. Система напорной аэрации включает в себя аэрационную трубу (в аэрационной трубе проходит смешение воздуха и воды); два компрессора, подающие воз-дух в аэрационную трубу; блок каскадного управления, отвечающий за попеременную работу компрессоров для предотвращения их перегрева; водовоздушный сепаратор, предотвращающий завоздушивание осветлительно-сорбционных фильтров.</w:t>
      </w:r>
    </w:p>
    <w:p>
      <w:pPr>
        <w:spacing w:line="360" w:lineRule="auto"/>
        <w:ind w:firstLine="567"/>
        <w:jc w:val="both"/>
        <w:rPr>
          <w:sz w:val="28"/>
          <w:szCs w:val="28"/>
        </w:rPr>
      </w:pPr>
      <w:r>
        <w:rPr>
          <w:sz w:val="28"/>
          <w:szCs w:val="28"/>
        </w:rPr>
        <w:t>Следующим этапом очистки воды является ее осветление и обезжелезивание на осветлительно-сорбционных фильтрах. В состав каждого осветлительно-сорбционного фильтра входят корпус фильтра, система управления и контроля, нижняя и верхняя распределительные системы, присоединительные фитинги, фильтрующая загрузка и поддерживающий слой гравия. Регенерация фильтров осуществляется в автоматическом режиме путем промывки водой из скважины.</w:t>
      </w:r>
    </w:p>
    <w:p>
      <w:pPr>
        <w:spacing w:line="360" w:lineRule="auto"/>
        <w:ind w:firstLine="567"/>
        <w:jc w:val="both"/>
        <w:rPr>
          <w:sz w:val="28"/>
          <w:szCs w:val="28"/>
        </w:rPr>
      </w:pPr>
      <w:r>
        <w:rPr>
          <w:sz w:val="28"/>
          <w:szCs w:val="28"/>
        </w:rPr>
        <w:t>Далее вода поступает на установки обратного осмоса "Aspect-Water-RO", общей производительностью 100 м3/ч для целей очистки исходной воды от бора, стронция, фтора и лития. Установка обратного осмоса предназначена для обессоливания воды методом обратного осмоса.</w:t>
      </w:r>
    </w:p>
    <w:p>
      <w:pPr>
        <w:spacing w:line="360" w:lineRule="auto"/>
        <w:ind w:firstLine="567"/>
        <w:jc w:val="both"/>
        <w:rPr>
          <w:sz w:val="28"/>
          <w:szCs w:val="28"/>
        </w:rPr>
      </w:pPr>
      <w:r>
        <w:rPr>
          <w:sz w:val="28"/>
          <w:szCs w:val="28"/>
        </w:rPr>
        <w:t>Для поддержания блока обратноосмотического обессоливания в рабочем состоянии в состав системы водоподготовки включен блок периодической химической промывки, при необходимости, мембранных элементов раствором органических солей специального состава. Система водоподготовки обеспечивает необходимую степень очистки в соответствии с результатами анализа качества воды.</w:t>
      </w:r>
    </w:p>
    <w:p>
      <w:pPr>
        <w:spacing w:line="360" w:lineRule="auto"/>
        <w:ind w:firstLine="567"/>
        <w:jc w:val="both"/>
        <w:rPr>
          <w:sz w:val="28"/>
          <w:szCs w:val="28"/>
        </w:rPr>
      </w:pPr>
      <w:r>
        <w:rPr>
          <w:sz w:val="28"/>
          <w:szCs w:val="28"/>
        </w:rPr>
        <w:t>Обессоленная вода (пермеат) с трех установок "Aspect-Water-RO" объединяется и подается в РЧВ1 и РЧВ2, полезным объемом 1065 м3 каждый, концентрат отводится в ливневую ка-нализацию. Резервуары оборудованы системой контроля уровня. Перед накопительными резервуарами РЧВ1 и РЧВ2 в очищенную воду с установок обратного осмоса дозируется гипо-хлорит натрия для обеззараживания. Дозирование реагента осуществляется пропорционально расходу воды по сигналу от импульсного счетчика воды. Установка дозирования реагента "Aspect-UDR" состоит из насоса- дозатора, реагентной емкости, однопозиционного датчика уровня и водосчетчика.</w:t>
      </w:r>
    </w:p>
    <w:p>
      <w:pPr>
        <w:spacing w:line="360" w:lineRule="auto"/>
        <w:ind w:firstLine="567"/>
        <w:jc w:val="both"/>
        <w:rPr>
          <w:sz w:val="28"/>
          <w:szCs w:val="28"/>
        </w:rPr>
      </w:pPr>
      <w:r>
        <w:rPr>
          <w:sz w:val="28"/>
          <w:szCs w:val="28"/>
        </w:rPr>
        <w:t>В РЧВ1 и РЧВ2 предусмотрена циркуляция воды и опорожнение резервуаров с помощью циркуляционного насоса. Во избежание бактериологического загрязнения на трубопроводе циркуляции предусмотрена установка ультрафиолетового обеззараживания "Aspect-Water-UF2".</w:t>
      </w:r>
    </w:p>
    <w:p>
      <w:pPr>
        <w:spacing w:line="360" w:lineRule="auto"/>
        <w:ind w:firstLine="567"/>
        <w:jc w:val="both"/>
        <w:rPr>
          <w:sz w:val="28"/>
          <w:szCs w:val="28"/>
        </w:rPr>
      </w:pPr>
      <w:r>
        <w:rPr>
          <w:sz w:val="28"/>
          <w:szCs w:val="28"/>
        </w:rPr>
        <w:t>На выходе насосной группы хозяйственно-питьевого водоснабжения вода проходит об-лучение на установке ультрафиолетового обеззараживания 210 м3/ч "Aspect-Water-UF1" во избежание застаивания и бактериологического загрязнения в период минимального водоразбора.</w:t>
      </w:r>
    </w:p>
    <w:p>
      <w:pPr>
        <w:spacing w:line="360" w:lineRule="auto"/>
        <w:ind w:firstLine="567"/>
        <w:jc w:val="both"/>
        <w:rPr>
          <w:sz w:val="28"/>
          <w:szCs w:val="28"/>
        </w:rPr>
      </w:pPr>
      <w:r>
        <w:rPr>
          <w:sz w:val="28"/>
          <w:szCs w:val="28"/>
        </w:rPr>
        <w:t>Дополнительно, при необходимости (проведение дезинфекции сетей, аварии УФ и др.), в схеме водоснабжения предусмотрена возможность ввода реагента в трубопровод В1 для вторичного обеззараживания очищенной воды при помощи насоса дозатора установки дозирования реагента "Aspect-UDR".</w:t>
      </w:r>
    </w:p>
    <w:p>
      <w:pPr>
        <w:spacing w:line="360" w:lineRule="auto"/>
        <w:ind w:firstLine="567"/>
        <w:jc w:val="both"/>
        <w:rPr>
          <w:sz w:val="28"/>
          <w:szCs w:val="28"/>
        </w:rPr>
      </w:pPr>
      <w:r>
        <w:rPr>
          <w:sz w:val="28"/>
          <w:szCs w:val="28"/>
        </w:rPr>
        <w:t>Насосное оборудование подачи воды потребителям общей производительностью 341 м3/ч, с устройством гидроаккумулятора, включает в себя четыре насоса (3 рабочих, 1 резервный насос), а насосное оборудование противопожарной системы производительностью 568 м3/ч – два насоса (1 рабочий, 1 резервный насос).</w:t>
      </w:r>
    </w:p>
    <w:p>
      <w:pPr>
        <w:spacing w:line="360" w:lineRule="auto"/>
        <w:ind w:firstLine="567"/>
        <w:jc w:val="both"/>
        <w:rPr>
          <w:sz w:val="28"/>
          <w:szCs w:val="28"/>
        </w:rPr>
      </w:pPr>
      <w:r>
        <w:rPr>
          <w:sz w:val="28"/>
          <w:szCs w:val="28"/>
        </w:rPr>
        <w:t>Промывные воды от установок обратного осмоса, фильтров, воды от аварийных переливов, от случайных проливов отводятся в ливневую канализацию.</w:t>
      </w:r>
    </w:p>
    <w:p>
      <w:pPr>
        <w:spacing w:line="360" w:lineRule="auto"/>
        <w:ind w:firstLine="567"/>
        <w:jc w:val="both"/>
        <w:rPr>
          <w:b/>
          <w:sz w:val="28"/>
          <w:szCs w:val="28"/>
        </w:rPr>
      </w:pPr>
      <w:r>
        <w:rPr>
          <w:b/>
          <w:sz w:val="28"/>
          <w:szCs w:val="28"/>
        </w:rPr>
        <w:t>ООО "ЖК-Ресурс"</w:t>
      </w:r>
    </w:p>
    <w:p>
      <w:pPr>
        <w:spacing w:line="360" w:lineRule="auto"/>
        <w:ind w:firstLine="567"/>
        <w:jc w:val="both"/>
        <w:rPr>
          <w:sz w:val="28"/>
          <w:szCs w:val="28"/>
        </w:rPr>
      </w:pPr>
      <w:r>
        <w:rPr>
          <w:sz w:val="28"/>
          <w:szCs w:val="28"/>
        </w:rPr>
        <w:t>ВЗУ ЖК "Гусарская баллада" предназначено для хозяйственно-питьевого водоснабжения многоэтажной жилой застройки с объектами социально-культурного, торгового и бытового назначения жилого комплекса "Гусарская баллада" и включает в себя: шесть артезианских скважин сгруппированные в ВЗУ. Источники расположены к востоку от п. ВНИИССОК. Си-стемы водоочистки и водоподготовки отсутствуют. В состав ВЗУ ЖК "Гусарская баллада" входит три насосных станции 2-го подъема и два резервуара чистой воды общей емкостью 3000 м3 (2*1500).</w:t>
      </w:r>
    </w:p>
    <w:p>
      <w:pPr>
        <w:spacing w:line="360" w:lineRule="auto"/>
        <w:ind w:firstLine="567"/>
        <w:jc w:val="both"/>
        <w:rPr>
          <w:sz w:val="28"/>
          <w:szCs w:val="28"/>
        </w:rPr>
      </w:pPr>
      <w:r>
        <w:rPr>
          <w:sz w:val="28"/>
          <w:szCs w:val="28"/>
        </w:rPr>
        <w:t>От насосных станций 2-го подъема вода подается по магистральным трубопроводам во внутриквартальные сети и далее к потребителям. Рабочее давление в распределительных сетях колеблется в пределах от 6 до 7,5 кг/см2. Сети выполнены из полиэтилена. Система водоснабжения относится к первой категории по степени обеспеченности подачи воды потребителям согласно п. 7.4 СП 31.13330.2012.</w:t>
      </w:r>
    </w:p>
    <w:p>
      <w:pPr>
        <w:spacing w:line="360" w:lineRule="auto"/>
        <w:ind w:firstLine="567"/>
        <w:jc w:val="both"/>
        <w:rPr>
          <w:sz w:val="28"/>
          <w:szCs w:val="28"/>
        </w:rPr>
      </w:pPr>
      <w:r>
        <w:rPr>
          <w:sz w:val="28"/>
          <w:szCs w:val="28"/>
        </w:rPr>
        <w:t>Забор воды организован из 2-х водоносных горизонтов: Подольско-Мячковского и Алексинско-Протвинского. Для этого на площадке ВЗУ-1 пробурено две «мелкие» скважины № 1.1 и № 1.3 (одна рабочая и одна резервная) на Подольско-Мячковский горизонт глубиной 140 м, и одна скважина рабочая «глубокая» № 1.2 на Алексинско-Протвинский горизонт глубиной 240 м.</w:t>
      </w:r>
    </w:p>
    <w:p>
      <w:pPr>
        <w:spacing w:line="360" w:lineRule="auto"/>
        <w:ind w:firstLine="567"/>
        <w:jc w:val="both"/>
        <w:rPr>
          <w:sz w:val="28"/>
          <w:szCs w:val="28"/>
        </w:rPr>
      </w:pPr>
      <w:r>
        <w:rPr>
          <w:sz w:val="28"/>
          <w:szCs w:val="28"/>
        </w:rPr>
        <w:t>На площадке ВЗУ-2 пробурено две скважины «глубокие» № 2.2 и № 2.3 (одна рабочая и одна резервная) на Алексинско-Протвинский горизонт глубиной 240 м, и одна скважина рабочая  «мелкая» № 2.1 на Подольско-Мячковский горизонт глубиной 140 м.</w:t>
      </w:r>
    </w:p>
    <w:p>
      <w:pPr>
        <w:spacing w:line="360" w:lineRule="auto"/>
        <w:ind w:firstLine="567"/>
        <w:jc w:val="both"/>
        <w:rPr>
          <w:sz w:val="28"/>
          <w:szCs w:val="28"/>
        </w:rPr>
      </w:pPr>
      <w:r>
        <w:rPr>
          <w:sz w:val="28"/>
          <w:szCs w:val="28"/>
        </w:rPr>
        <w:t>От скважин №1.2, №2.2 и №2.3 «глубокого» заложения, Алексинско-Протвинского водоносного горизонта, в работе могут находиться только одна пара насосов либо пара № 1.2 и № 2.2, либо № 1.2 и № 2.3 с суммарным расходом 105 м3/ч. Исходная вода из Алексинско-Протвинского горизонта направляется непосредственно в резервуары чистой воды №1 и №2.</w:t>
      </w:r>
    </w:p>
    <w:p>
      <w:pPr>
        <w:spacing w:line="360" w:lineRule="auto"/>
        <w:ind w:firstLine="567"/>
        <w:jc w:val="both"/>
        <w:rPr>
          <w:sz w:val="28"/>
          <w:szCs w:val="28"/>
        </w:rPr>
      </w:pPr>
      <w:r>
        <w:rPr>
          <w:sz w:val="28"/>
          <w:szCs w:val="28"/>
        </w:rPr>
        <w:t xml:space="preserve">От скважин №1.1, №1.3 и №2.1 «мелкого» заложения, Подольско-Мячковского водоносного горизонта, в работе могут находиться две пара насосов № 1.1 и № 2.1 либо № 1.3 и № 2.1 (согласно заложенной программе в шкафу управления) с суммарным расходом 100 м3/ч. </w:t>
      </w:r>
    </w:p>
    <w:p>
      <w:pPr>
        <w:spacing w:line="360" w:lineRule="auto"/>
        <w:ind w:firstLine="567"/>
        <w:jc w:val="both"/>
        <w:rPr>
          <w:sz w:val="28"/>
          <w:szCs w:val="28"/>
        </w:rPr>
      </w:pPr>
      <w:r>
        <w:rPr>
          <w:sz w:val="28"/>
          <w:szCs w:val="28"/>
        </w:rPr>
        <w:t>Исходная вода, из Подольско-Мячковского водоносного горизонта, вначале поступает на фильтры обезжелезивания и далее в резервуары чистой воды №1 и №2.</w:t>
      </w:r>
    </w:p>
    <w:p>
      <w:pPr>
        <w:spacing w:line="360" w:lineRule="auto"/>
        <w:ind w:firstLine="567"/>
        <w:jc w:val="both"/>
        <w:rPr>
          <w:sz w:val="28"/>
          <w:szCs w:val="28"/>
        </w:rPr>
      </w:pPr>
      <w:r>
        <w:rPr>
          <w:sz w:val="28"/>
          <w:szCs w:val="28"/>
        </w:rPr>
        <w:t>В резервуарах чистой воды №1 и №2 происходит смешивание воды из двух разных водоносных горизонтов, что позволяет снизить уровень фторидов в воде, подаваемой из Алексинско-Протвинского горизонта. На 1м3 воды из «Подольско-Мячковского горизонта подается 1,3м3 воды из Алексинско-Протвинского горизонта. Пропорция воды не регулируется в автоматическом режиме. Для уменьшения фторидов в исходной воде на город, произведена регулировка расхода воды из «глубоких» скважин в сторону уменьшения путем частичного закрытия выходных задвижек возле скважин для уменьшения расхода с 65 м3/час до 56 м3/час.</w:t>
      </w:r>
    </w:p>
    <w:p>
      <w:pPr>
        <w:spacing w:line="360" w:lineRule="auto"/>
        <w:ind w:firstLine="567"/>
        <w:jc w:val="both"/>
        <w:rPr>
          <w:b/>
          <w:sz w:val="28"/>
          <w:szCs w:val="28"/>
        </w:rPr>
      </w:pPr>
      <w:r>
        <w:rPr>
          <w:b/>
          <w:sz w:val="28"/>
          <w:szCs w:val="28"/>
        </w:rPr>
        <w:t>ООО "ТеплоЭнергоСервис"</w:t>
      </w:r>
    </w:p>
    <w:p>
      <w:pPr>
        <w:spacing w:line="360" w:lineRule="auto"/>
        <w:ind w:firstLine="567"/>
        <w:jc w:val="both"/>
        <w:rPr>
          <w:sz w:val="28"/>
          <w:szCs w:val="28"/>
        </w:rPr>
      </w:pPr>
      <w:r>
        <w:rPr>
          <w:sz w:val="28"/>
          <w:szCs w:val="28"/>
        </w:rPr>
        <w:t>ВЗУ ЖК "Микрорайон Немчиновка" включает в себя две артезианских скважины, насосную станцию 2 подъёма со станцией обеззараживания УДВ-6А 500-10-200-С и РЧВ.</w:t>
      </w:r>
    </w:p>
    <w:p>
      <w:pPr>
        <w:spacing w:line="360" w:lineRule="auto"/>
        <w:ind w:firstLine="567"/>
        <w:jc w:val="both"/>
        <w:rPr>
          <w:sz w:val="28"/>
          <w:szCs w:val="28"/>
        </w:rPr>
      </w:pPr>
      <w:r>
        <w:rPr>
          <w:sz w:val="28"/>
          <w:szCs w:val="28"/>
        </w:rPr>
        <w:t>Максимальная фактическая средняя суточная производительность за 2017 год по ВЗУ ЖК "Микро-район Немчиновка" составила – 43,6 м3/ч, 671,4 м3/сут. Фактическая производительность (водоотбор) по ВЗУ ЖК "Микрорайон Немчиновка"  не превышает суммарную проектную мощность скважин.</w:t>
      </w:r>
    </w:p>
    <w:p>
      <w:pPr>
        <w:spacing w:line="360" w:lineRule="auto"/>
        <w:ind w:firstLine="567"/>
        <w:jc w:val="both"/>
        <w:rPr>
          <w:b/>
          <w:sz w:val="28"/>
          <w:szCs w:val="28"/>
        </w:rPr>
      </w:pPr>
      <w:r>
        <w:rPr>
          <w:b/>
          <w:sz w:val="28"/>
          <w:szCs w:val="28"/>
        </w:rPr>
        <w:t>ФГБУ «ЦЖКУ»</w:t>
      </w:r>
    </w:p>
    <w:p>
      <w:pPr>
        <w:spacing w:line="360" w:lineRule="auto"/>
        <w:ind w:firstLine="567"/>
        <w:jc w:val="both"/>
        <w:rPr>
          <w:sz w:val="28"/>
          <w:szCs w:val="28"/>
        </w:rPr>
      </w:pPr>
      <w:r>
        <w:rPr>
          <w:sz w:val="28"/>
          <w:szCs w:val="28"/>
        </w:rPr>
        <w:t xml:space="preserve">ВЗУ Баковка, в/г 20 ФГБУ «ЦЖКУ» включает в себя две артезианских скважины, насосую станцию 2 подъёма. </w:t>
      </w:r>
    </w:p>
    <w:p>
      <w:pPr>
        <w:spacing w:line="360" w:lineRule="auto"/>
        <w:ind w:firstLine="567"/>
        <w:jc w:val="both"/>
        <w:rPr>
          <w:b/>
          <w:sz w:val="28"/>
          <w:szCs w:val="28"/>
        </w:rPr>
      </w:pPr>
      <w:r>
        <w:rPr>
          <w:b/>
          <w:sz w:val="28"/>
          <w:szCs w:val="28"/>
        </w:rPr>
        <w:t>ГУП «Московский метрополитен»</w:t>
      </w:r>
    </w:p>
    <w:p>
      <w:pPr>
        <w:spacing w:line="360" w:lineRule="auto"/>
        <w:ind w:firstLine="567"/>
        <w:jc w:val="both"/>
        <w:rPr>
          <w:sz w:val="28"/>
          <w:szCs w:val="28"/>
        </w:rPr>
      </w:pPr>
      <w:r>
        <w:rPr>
          <w:sz w:val="28"/>
          <w:szCs w:val="28"/>
        </w:rPr>
        <w:t>В настоящее время организация владеет двумя скважинами (/ГВК 46222043, /ГВК 46222044), расположенные на территории санатория «Баковка». ГУП «Московский метрополитен» обеспечивает централизованным водоснабжением санаторий-профилакторий «Баков-ка» и население д. Переделки.</w:t>
      </w:r>
    </w:p>
    <w:p>
      <w:pPr>
        <w:spacing w:line="360" w:lineRule="auto"/>
        <w:ind w:firstLine="567"/>
        <w:jc w:val="both"/>
        <w:rPr>
          <w:sz w:val="28"/>
          <w:szCs w:val="28"/>
        </w:rPr>
      </w:pPr>
      <w:r>
        <w:rPr>
          <w:sz w:val="28"/>
          <w:szCs w:val="28"/>
        </w:rPr>
        <w:t>Вода со скважин поступает в накопительные резервуары, а затем при помощи станции второго подъёма вода поступает в сеть потребителям.</w:t>
      </w:r>
    </w:p>
    <w:p>
      <w:pPr>
        <w:spacing w:line="360" w:lineRule="auto"/>
        <w:ind w:firstLine="567"/>
        <w:jc w:val="both"/>
        <w:rPr>
          <w:sz w:val="28"/>
          <w:szCs w:val="28"/>
        </w:rPr>
      </w:pPr>
      <w:r>
        <w:rPr>
          <w:sz w:val="28"/>
          <w:szCs w:val="28"/>
        </w:rPr>
        <w:t>Электроснабжение ВЗУ осуществляется по одному вводу. Резервное электроснабжение – не предусмотрено.</w:t>
      </w:r>
    </w:p>
    <w:p>
      <w:pPr>
        <w:spacing w:line="360" w:lineRule="auto"/>
        <w:ind w:firstLine="567"/>
        <w:jc w:val="both"/>
        <w:rPr>
          <w:sz w:val="28"/>
          <w:szCs w:val="28"/>
        </w:rPr>
      </w:pPr>
      <w:r>
        <w:rPr>
          <w:sz w:val="28"/>
          <w:szCs w:val="28"/>
        </w:rPr>
        <w:t>Согласно лицензии на пользование недрами, разрешенный водоотбор составляет 220 м3/сутки (80,3 тыс. м3/год), в том числе: для хозяйственно-питьевого водоснабжения санатория-профилактория – 133 м3/сутки, а для населения д. Переделки – 87 м3/сутки.</w:t>
      </w:r>
    </w:p>
    <w:p>
      <w:pPr>
        <w:spacing w:line="360" w:lineRule="auto"/>
        <w:ind w:firstLine="567"/>
        <w:jc w:val="both"/>
        <w:rPr>
          <w:b/>
          <w:sz w:val="28"/>
          <w:szCs w:val="28"/>
        </w:rPr>
      </w:pPr>
      <w:r>
        <w:rPr>
          <w:b/>
          <w:sz w:val="28"/>
          <w:szCs w:val="28"/>
        </w:rPr>
        <w:t>Федеральная служба охраны (ФСО) России</w:t>
      </w:r>
    </w:p>
    <w:p>
      <w:pPr>
        <w:spacing w:line="360" w:lineRule="auto"/>
        <w:ind w:firstLine="567"/>
        <w:jc w:val="both"/>
        <w:rPr>
          <w:sz w:val="28"/>
          <w:szCs w:val="28"/>
        </w:rPr>
      </w:pPr>
      <w:r>
        <w:rPr>
          <w:sz w:val="28"/>
          <w:szCs w:val="28"/>
        </w:rPr>
        <w:t>ВЗУ «Озера» включает в себя две артезианские скважину № 1 и №2, насосную станцию 2-го подъёма. ВЗУ в данной технологической зоне имеют типовую схожую технологическую схему: насосы первого подъёма подают из артезианских скважин холодную воду в накопительные резервуары (РЧВ). Из накопительных резервуаров, чистая вода, насосными станциями второго подъёма подаётся в централизованную систему водоснабжения.</w:t>
      </w:r>
    </w:p>
    <w:p>
      <w:pPr>
        <w:spacing w:line="360" w:lineRule="auto"/>
        <w:ind w:firstLine="567"/>
        <w:jc w:val="both"/>
        <w:rPr>
          <w:sz w:val="28"/>
          <w:szCs w:val="28"/>
        </w:rPr>
      </w:pPr>
      <w:r>
        <w:rPr>
          <w:sz w:val="28"/>
          <w:szCs w:val="28"/>
        </w:rPr>
        <w:t>В связи с постоянной реорганизацией организаций осуществляющих эксплуатацию систем централизованного водоснабжения, в «ТУ Одинцово», информация о работе источников централизованного водоснабжения за 5 лет не сохранилась. Имеющаяся информация неполная, разрозненная достоверность которой сомнительна, поэтому ниже в таблице 2.2-2 приводятся данные по фактической производительности ИЦВ только за 2017 год – 11,2 млн м</w:t>
      </w:r>
      <w:r>
        <w:rPr>
          <w:sz w:val="28"/>
          <w:szCs w:val="28"/>
          <w:vertAlign w:val="superscript"/>
        </w:rPr>
        <w:t>3</w:t>
      </w:r>
      <w:r>
        <w:rPr>
          <w:sz w:val="28"/>
          <w:szCs w:val="28"/>
        </w:rPr>
        <w:t>/год.</w:t>
      </w:r>
    </w:p>
    <w:p>
      <w:pPr>
        <w:spacing w:line="360" w:lineRule="auto"/>
        <w:ind w:firstLine="567"/>
        <w:jc w:val="both"/>
        <w:rPr>
          <w:sz w:val="28"/>
          <w:szCs w:val="28"/>
        </w:rPr>
      </w:pPr>
      <w:r>
        <w:rPr>
          <w:b/>
          <w:color w:val="000000"/>
          <w:sz w:val="28"/>
          <w:szCs w:val="28"/>
        </w:rPr>
        <w:t xml:space="preserve">Таблица 2.2-2. </w:t>
      </w:r>
      <w:r>
        <w:rPr>
          <w:b/>
          <w:sz w:val="28"/>
          <w:szCs w:val="28"/>
        </w:rPr>
        <w:t>Фактическая производительность ИЦВ системы централизованного питьевого водоснабжения «ТУ Одинцово» за 2017 год.</w:t>
      </w:r>
    </w:p>
    <w:tbl>
      <w:tblPr>
        <w:tblStyle w:val="100"/>
        <w:tblW w:w="9982" w:type="dxa"/>
        <w:tblInd w:w="-176" w:type="dxa"/>
        <w:tblLayout w:type="fixed"/>
        <w:tblCellMar>
          <w:top w:w="0" w:type="dxa"/>
          <w:left w:w="108" w:type="dxa"/>
          <w:bottom w:w="0" w:type="dxa"/>
          <w:right w:w="108" w:type="dxa"/>
        </w:tblCellMar>
      </w:tblPr>
      <w:tblGrid>
        <w:gridCol w:w="568"/>
        <w:gridCol w:w="1730"/>
        <w:gridCol w:w="567"/>
        <w:gridCol w:w="1588"/>
        <w:gridCol w:w="819"/>
        <w:gridCol w:w="882"/>
        <w:gridCol w:w="993"/>
        <w:gridCol w:w="850"/>
        <w:gridCol w:w="992"/>
        <w:gridCol w:w="993"/>
      </w:tblGrid>
      <w:tr>
        <w:tblPrEx>
          <w:tblLayout w:type="fixed"/>
          <w:tblCellMar>
            <w:top w:w="0" w:type="dxa"/>
            <w:left w:w="108" w:type="dxa"/>
            <w:bottom w:w="0" w:type="dxa"/>
            <w:right w:w="108" w:type="dxa"/>
          </w:tblCellMar>
        </w:tblPrEx>
        <w:trPr>
          <w:trHeight w:val="339" w:hRule="atLeast"/>
          <w:tblHead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 п/п</w:t>
            </w:r>
          </w:p>
        </w:tc>
        <w:tc>
          <w:tcPr>
            <w:tcW w:w="1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Наименование ВЗУ</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 п/п</w:t>
            </w:r>
          </w:p>
        </w:tc>
        <w:tc>
          <w:tcPr>
            <w:tcW w:w="15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 скважины</w:t>
            </w:r>
          </w:p>
        </w:tc>
        <w:tc>
          <w:tcPr>
            <w:tcW w:w="5529" w:type="dxa"/>
            <w:gridSpan w:val="6"/>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Фактический водоотбор артезианской воды</w:t>
            </w:r>
          </w:p>
        </w:tc>
      </w:tr>
      <w:tr>
        <w:tblPrEx>
          <w:tblLayout w:type="fixed"/>
          <w:tblCellMar>
            <w:top w:w="0" w:type="dxa"/>
            <w:left w:w="108" w:type="dxa"/>
            <w:bottom w:w="0" w:type="dxa"/>
            <w:right w:w="108" w:type="dxa"/>
          </w:tblCellMar>
        </w:tblPrEx>
        <w:trPr>
          <w:trHeight w:val="577" w:hRule="atLeast"/>
          <w:tblHead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5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Максимальная часовая</w:t>
            </w:r>
          </w:p>
        </w:tc>
        <w:tc>
          <w:tcPr>
            <w:tcW w:w="1843"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Максимальная суточная</w:t>
            </w:r>
          </w:p>
        </w:tc>
        <w:tc>
          <w:tcPr>
            <w:tcW w:w="1985"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Подъем годовой</w:t>
            </w:r>
          </w:p>
        </w:tc>
      </w:tr>
      <w:tr>
        <w:tblPrEx>
          <w:tblLayout w:type="fixed"/>
          <w:tblCellMar>
            <w:top w:w="0" w:type="dxa"/>
            <w:left w:w="108" w:type="dxa"/>
            <w:bottom w:w="0" w:type="dxa"/>
            <w:right w:w="108" w:type="dxa"/>
          </w:tblCellMar>
        </w:tblPrEx>
        <w:trPr>
          <w:trHeight w:val="362" w:hRule="atLeast"/>
          <w:tblHead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5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b/>
                <w:bCs/>
                <w:color w:val="000000"/>
                <w:sz w:val="20"/>
                <w:szCs w:val="20"/>
              </w:rPr>
            </w:pP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/час</w:t>
            </w:r>
          </w:p>
        </w:tc>
        <w:tc>
          <w:tcPr>
            <w:tcW w:w="1843"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/сут.</w:t>
            </w:r>
          </w:p>
        </w:tc>
        <w:tc>
          <w:tcPr>
            <w:tcW w:w="1985" w:type="dxa"/>
            <w:gridSpan w:val="2"/>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/год</w:t>
            </w: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ОАО «Одинцовский Водоканал»</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№1</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68,5</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403,6</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1141,0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6727,3</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347043</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2046214</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скважина № 1.2 </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71,9</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1198,6</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364566</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141,7</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2361,9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718398</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121,6</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2025,9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616207</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№2 (не эксплуатируется)</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2.2</w:t>
            </w:r>
          </w:p>
        </w:tc>
        <w:tc>
          <w:tcPr>
            <w:tcW w:w="5529" w:type="dxa"/>
            <w:gridSpan w:val="6"/>
            <w:vMerge w:val="restart"/>
            <w:tcBorders>
              <w:top w:val="nil"/>
              <w:left w:val="nil"/>
              <w:right w:val="single" w:color="auto" w:sz="4" w:space="0"/>
            </w:tcBorders>
            <w:shd w:val="clear" w:color="auto" w:fill="auto"/>
            <w:vAlign w:val="center"/>
          </w:tcPr>
          <w:p>
            <w:pPr>
              <w:jc w:val="center"/>
              <w:rPr>
                <w:color w:val="000000"/>
                <w:sz w:val="20"/>
                <w:szCs w:val="20"/>
              </w:rPr>
            </w:pPr>
            <w:r>
              <w:rPr>
                <w:color w:val="000000"/>
                <w:sz w:val="20"/>
                <w:szCs w:val="20"/>
              </w:rPr>
              <w:t>не эксплуатируется</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2.3</w:t>
            </w:r>
          </w:p>
        </w:tc>
        <w:tc>
          <w:tcPr>
            <w:tcW w:w="5529" w:type="dxa"/>
            <w:gridSpan w:val="6"/>
            <w:vMerge w:val="continue"/>
            <w:tcBorders>
              <w:left w:val="nil"/>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w:t>
            </w:r>
          </w:p>
        </w:tc>
        <w:tc>
          <w:tcPr>
            <w:tcW w:w="173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4 (не эксплуатируется)</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4.1</w:t>
            </w:r>
          </w:p>
        </w:tc>
        <w:tc>
          <w:tcPr>
            <w:tcW w:w="5529" w:type="dxa"/>
            <w:gridSpan w:val="6"/>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не эксплуатируется</w:t>
            </w:r>
          </w:p>
        </w:tc>
      </w:tr>
      <w:tr>
        <w:tblPrEx>
          <w:tblLayout w:type="fixed"/>
          <w:tblCellMar>
            <w:top w:w="0" w:type="dxa"/>
            <w:left w:w="108" w:type="dxa"/>
            <w:bottom w:w="0" w:type="dxa"/>
            <w:right w:w="108" w:type="dxa"/>
          </w:tblCellMar>
        </w:tblPrEx>
        <w:trPr>
          <w:trHeight w:val="340"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w:t>
            </w:r>
          </w:p>
        </w:tc>
        <w:tc>
          <w:tcPr>
            <w:tcW w:w="173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№5 (не эксплуатируется)</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5.1</w:t>
            </w:r>
          </w:p>
        </w:tc>
        <w:tc>
          <w:tcPr>
            <w:tcW w:w="5529" w:type="dxa"/>
            <w:gridSpan w:val="6"/>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не эксплуатируется</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№6</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№6.1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91,3</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244,1</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1404,2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3754,8</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427104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1142096</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№6.2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152,8</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2350,7</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714992</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609"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№7</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7.1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74,2</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422,4</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1236,3</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7040,0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376033</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2141348</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7.2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77,9</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1298,1</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394851</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«Верхнее Отрадное» скважина № 7.3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77,7</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1294,8</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393843</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«Верхнее Отрадное» скважина №7.3а дублер</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57,5</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957,7</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291304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«Госпитальный» скважина № 7.4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65,3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1087,8</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330861</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«Госпитальный» скважина №7.4а дублер</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69,9</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1165,3</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354456</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№8</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8.1 не функционирует</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157,6</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2626,8</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798998</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8.2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87,5</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1458,8</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443720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«Полевая» скважина № 8.3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39,8</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664,1</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201995</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«Полевые» скважина № 8,4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30,2</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503,9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153283</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№9</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9.2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80,5</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125,2</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1340,9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2087,4</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407854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634903</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«Северная» скважина №9.3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44,8</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746,5</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227049</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сателлит «Северная» скважина № 9.4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№10</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10.1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174,5</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339,1</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2685,3</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5217,0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816775</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1586850</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10.2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164,6</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2531,8</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770075</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«Трехгорка» 1-я очередь</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«Трехгорка» 2-я очередь</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29</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мкр. Одинцово-1</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35</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Переделкино</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№11.1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3,4</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48,6</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8565,4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14768</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 скважина №11.2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20,4</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6202,6</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АО "Одинцовская теплосеть"</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 4 «Немчиновка»</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36</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1/57</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30,3</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70,7</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432,9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1010,1</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131674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307231</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1/70</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577,2</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175557</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w:t>
            </w:r>
          </w:p>
        </w:tc>
        <w:tc>
          <w:tcPr>
            <w:tcW w:w="173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№5 «Верхнее Ромашково»</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скв.№9 (резервная)</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8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85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r>
      <w:tr>
        <w:tblPrEx>
          <w:tblLayout w:type="fixed"/>
          <w:tblCellMar>
            <w:top w:w="0" w:type="dxa"/>
            <w:left w:w="108" w:type="dxa"/>
            <w:bottom w:w="0" w:type="dxa"/>
            <w:right w:w="108" w:type="dxa"/>
          </w:tblCellMar>
        </w:tblPrEx>
        <w:trPr>
          <w:trHeight w:val="340"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w:t>
            </w:r>
          </w:p>
        </w:tc>
        <w:tc>
          <w:tcPr>
            <w:tcW w:w="173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№7 «Верхнее Ромашково»</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39</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№10</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14,1</w:t>
            </w:r>
          </w:p>
        </w:tc>
        <w:tc>
          <w:tcPr>
            <w:tcW w:w="88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14,1</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850"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61395</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61395</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№6 «Нижнее Ромашково»</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№7</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3,3</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11,3</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47,2</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161,7</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14347</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49170</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№8</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114,5</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34823</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"Теплосервис-М"</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ЖК "Сколковский"</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118,4</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290,5</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1820,9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4469,4</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553844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1359434</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53,8</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827,7</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251747</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118,4</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1820,9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553844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"ЖК-Ресурс"</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ind w:left="-180" w:firstLine="180"/>
              <w:jc w:val="center"/>
              <w:rPr>
                <w:color w:val="000000"/>
                <w:sz w:val="20"/>
                <w:szCs w:val="20"/>
              </w:rPr>
            </w:pPr>
            <w:r>
              <w:rPr>
                <w:color w:val="000000"/>
                <w:sz w:val="20"/>
                <w:szCs w:val="20"/>
              </w:rPr>
              <w:t>ВЗУ ЖК "Гусарская баллада"</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45</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145,7</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2429</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738862</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46</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4</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№5</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6</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404,9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123144</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"ТеплоЭнергоСервис"</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ЖК "Микрорайон Немчиновка"</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51</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14,4</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44,3</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221,1</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681,9</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67245</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207417</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30,0</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460,8</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140172</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ФГБУ «ЦЖКУ»</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21</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Баковка, в/г 20</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53</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3,3</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6,5</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47,6</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93,1</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14466</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28317</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54</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45,5</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13851</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ГУП «Московский метрополитен»</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22</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санаторий «Баковка»</w:t>
            </w:r>
          </w:p>
        </w:tc>
        <w:tc>
          <w:tcPr>
            <w:tcW w:w="567" w:type="dxa"/>
            <w:tcBorders>
              <w:top w:val="nil"/>
              <w:left w:val="nil"/>
              <w:bottom w:val="nil"/>
              <w:right w:val="nil"/>
            </w:tcBorders>
            <w:shd w:val="clear" w:color="auto" w:fill="auto"/>
            <w:vAlign w:val="center"/>
          </w:tcPr>
          <w:p>
            <w:pPr>
              <w:jc w:val="center"/>
              <w:rPr>
                <w:color w:val="000000"/>
                <w:sz w:val="20"/>
                <w:szCs w:val="20"/>
              </w:rPr>
            </w:pPr>
            <w:r>
              <w:rPr>
                <w:color w:val="000000"/>
                <w:sz w:val="20"/>
                <w:szCs w:val="20"/>
              </w:rPr>
              <w:t>55</w:t>
            </w:r>
          </w:p>
        </w:tc>
        <w:tc>
          <w:tcPr>
            <w:tcW w:w="158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88/380</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41,2</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7264,5</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12525</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nil"/>
              <w:right w:val="nil"/>
            </w:tcBorders>
            <w:shd w:val="clear" w:color="auto" w:fill="auto"/>
            <w:vAlign w:val="center"/>
          </w:tcPr>
          <w:p>
            <w:pPr>
              <w:jc w:val="center"/>
              <w:rPr>
                <w:color w:val="000000"/>
                <w:sz w:val="20"/>
                <w:szCs w:val="20"/>
              </w:rPr>
            </w:pPr>
            <w:r>
              <w:rPr>
                <w:color w:val="000000"/>
                <w:sz w:val="20"/>
                <w:szCs w:val="20"/>
              </w:rPr>
              <w:t>56</w:t>
            </w:r>
          </w:p>
        </w:tc>
        <w:tc>
          <w:tcPr>
            <w:tcW w:w="1588"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89/433</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17,3</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5260,5</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9982"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Федеральная служба охраны (ФСО) России</w:t>
            </w:r>
          </w:p>
        </w:tc>
      </w:tr>
      <w:tr>
        <w:tblPrEx>
          <w:tblLayout w:type="fixed"/>
          <w:tblCellMar>
            <w:top w:w="0" w:type="dxa"/>
            <w:left w:w="108" w:type="dxa"/>
            <w:bottom w:w="0" w:type="dxa"/>
            <w:right w:w="108" w:type="dxa"/>
          </w:tblCellMar>
        </w:tblPrEx>
        <w:trPr>
          <w:trHeight w:val="340" w:hRule="atLeast"/>
        </w:trPr>
        <w:tc>
          <w:tcPr>
            <w:tcW w:w="56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w:t>
            </w:r>
          </w:p>
        </w:tc>
        <w:tc>
          <w:tcPr>
            <w:tcW w:w="17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«Озера»</w:t>
            </w: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1</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w:t>
            </w:r>
          </w:p>
        </w:tc>
        <w:tc>
          <w:tcPr>
            <w:tcW w:w="882"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6,3</w:t>
            </w: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41,9</w:t>
            </w:r>
          </w:p>
        </w:tc>
        <w:tc>
          <w:tcPr>
            <w:tcW w:w="85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83,8</w:t>
            </w: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12743</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25485</w:t>
            </w:r>
          </w:p>
        </w:tc>
      </w:tr>
      <w:tr>
        <w:tblPrEx>
          <w:tblLayout w:type="fixed"/>
          <w:tblCellMar>
            <w:top w:w="0" w:type="dxa"/>
            <w:left w:w="108" w:type="dxa"/>
            <w:bottom w:w="0" w:type="dxa"/>
            <w:right w:w="108" w:type="dxa"/>
          </w:tblCellMar>
        </w:tblPrEx>
        <w:trPr>
          <w:trHeight w:val="340" w:hRule="atLeast"/>
        </w:trPr>
        <w:tc>
          <w:tcPr>
            <w:tcW w:w="568"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173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56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58</w:t>
            </w:r>
          </w:p>
        </w:tc>
        <w:tc>
          <w:tcPr>
            <w:tcW w:w="15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скважина № 2</w:t>
            </w:r>
          </w:p>
        </w:tc>
        <w:tc>
          <w:tcPr>
            <w:tcW w:w="81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w:t>
            </w:r>
          </w:p>
        </w:tc>
        <w:tc>
          <w:tcPr>
            <w:tcW w:w="882"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3"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41,9</w:t>
            </w:r>
          </w:p>
        </w:tc>
        <w:tc>
          <w:tcPr>
            <w:tcW w:w="850"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c>
          <w:tcPr>
            <w:tcW w:w="9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12743</w:t>
            </w: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pPr>
              <w:rPr>
                <w:color w:val="000000"/>
                <w:sz w:val="20"/>
                <w:szCs w:val="20"/>
              </w:rPr>
            </w:pPr>
          </w:p>
        </w:tc>
      </w:tr>
    </w:tbl>
    <w:p>
      <w:pPr>
        <w:spacing w:line="360" w:lineRule="auto"/>
        <w:ind w:firstLine="567"/>
        <w:jc w:val="both"/>
        <w:rPr>
          <w:sz w:val="28"/>
          <w:szCs w:val="28"/>
        </w:rPr>
      </w:pPr>
    </w:p>
    <w:p>
      <w:pPr>
        <w:spacing w:line="360" w:lineRule="auto"/>
        <w:ind w:firstLine="567"/>
        <w:jc w:val="both"/>
        <w:rPr>
          <w:sz w:val="28"/>
          <w:szCs w:val="28"/>
        </w:rPr>
      </w:pPr>
      <w:r>
        <w:rPr>
          <w:sz w:val="28"/>
          <w:szCs w:val="28"/>
        </w:rPr>
        <w:t>На момент разработки данной Программы приборами технического учета добываемой воды оборудованы все артезианские скважины на ВЗУ в ТУ Одинцово. На ВЗУ ЖК "Сколковский" ООО "Теплосервис-М" приборы учета воды установлены также и на выходе насосной станции второго подъема.</w:t>
      </w:r>
    </w:p>
    <w:p>
      <w:pPr>
        <w:spacing w:line="360" w:lineRule="auto"/>
        <w:ind w:firstLine="567"/>
        <w:jc w:val="both"/>
        <w:rPr>
          <w:sz w:val="28"/>
          <w:szCs w:val="28"/>
        </w:rPr>
      </w:pPr>
      <w:r>
        <w:rPr>
          <w:sz w:val="28"/>
          <w:szCs w:val="28"/>
        </w:rPr>
        <w:t>Учет отпуска производится по показаниям поднятой и полученной (приобретаемой) со стороны воды (Рублевской водопроводной станции). Врезки в водоводы АО «Мосводоканал» оборудованы ультразвуковыми водомерами.</w:t>
      </w:r>
    </w:p>
    <w:p>
      <w:pPr>
        <w:spacing w:line="360" w:lineRule="auto"/>
        <w:ind w:firstLine="567"/>
        <w:jc w:val="both"/>
        <w:rPr>
          <w:sz w:val="28"/>
          <w:szCs w:val="28"/>
        </w:rPr>
      </w:pPr>
      <w:r>
        <w:rPr>
          <w:sz w:val="28"/>
          <w:szCs w:val="28"/>
        </w:rPr>
        <w:t>На центральных тепловых пунктах (ЦТП) установлены приборы учета холодной (поступающей на нагрев) и горячей (отпускаемой потребителю) воды.</w:t>
      </w:r>
    </w:p>
    <w:p>
      <w:pPr>
        <w:spacing w:line="360" w:lineRule="auto"/>
        <w:ind w:firstLine="567"/>
        <w:jc w:val="both"/>
        <w:rPr>
          <w:sz w:val="28"/>
          <w:szCs w:val="28"/>
        </w:rPr>
      </w:pPr>
      <w:r>
        <w:rPr>
          <w:sz w:val="28"/>
          <w:szCs w:val="28"/>
        </w:rPr>
        <w:t>В соответствии с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населением должна производиться установка индиви-уальных приборов учета, как в жилых домах частного сектора, так и в многоквартирных до-мах.</w:t>
      </w:r>
    </w:p>
    <w:p>
      <w:pPr>
        <w:spacing w:line="360" w:lineRule="auto"/>
        <w:ind w:firstLine="567"/>
        <w:jc w:val="both"/>
        <w:rPr>
          <w:sz w:val="28"/>
          <w:szCs w:val="28"/>
        </w:rPr>
      </w:pPr>
      <w:r>
        <w:rPr>
          <w:sz w:val="28"/>
          <w:szCs w:val="28"/>
        </w:rPr>
        <w:t>В г. Одинцово ~65% потребителей оснащено приборами учета горячей и холодной воды, в п. Трехгорка – 100%, в с. Немчиновка – ~53%, с. Ромашково – ~62%. Программы по установке узлов учета нет. На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учета холодной и горячей воды. Администрация ТУ Одинцово осуществляет мероприятия по оснащению приборами учёта воды всех объектов бюджетной сферы и других предприятий и организаций. Юридические лица устанавливают приборы учета, как правило, на границе эксплуатационной ответственности, что также позволяет вести более точный учет расхода воды.</w:t>
      </w:r>
    </w:p>
    <w:p>
      <w:pPr>
        <w:spacing w:line="360" w:lineRule="auto"/>
        <w:ind w:firstLine="567"/>
        <w:jc w:val="both"/>
        <w:rPr>
          <w:sz w:val="28"/>
          <w:szCs w:val="28"/>
        </w:rPr>
      </w:pPr>
      <w:r>
        <w:rPr>
          <w:sz w:val="28"/>
          <w:szCs w:val="28"/>
        </w:rPr>
        <w:t>В целом на всех ИЦВ производится учет по техническим приборам учета. Учет отпускаемой воды производится по коммерческим приборам учета, установленным у потребителей. Частично расчет отпускаемой воды производится по нормативам.</w:t>
      </w:r>
    </w:p>
    <w:p>
      <w:pPr>
        <w:spacing w:line="360" w:lineRule="auto"/>
        <w:ind w:firstLine="567"/>
        <w:jc w:val="both"/>
        <w:rPr>
          <w:sz w:val="28"/>
          <w:szCs w:val="28"/>
        </w:rPr>
      </w:pPr>
      <w:r>
        <w:rPr>
          <w:sz w:val="28"/>
          <w:szCs w:val="28"/>
        </w:rPr>
        <w:t>Объекты водоснабжения ТУ Одинцово на данный момент не оснащены системой централизованного контроля и управления технологическими процессами. В перспективе планируются работы по диспетчеризации объектов на первом этапе, которых предусматривается установка контрольно-измерительных приборов, шкафов автоматики, оборудов-ния передачи данных, SCADA-сервера, АРМ пользователей, которые обеспечат контроль технологических параметров, и оборудования в режиме реального времени.</w:t>
      </w:r>
    </w:p>
    <w:p>
      <w:pPr>
        <w:spacing w:line="360" w:lineRule="auto"/>
        <w:ind w:firstLine="567"/>
        <w:jc w:val="both"/>
        <w:rPr>
          <w:sz w:val="28"/>
          <w:szCs w:val="28"/>
        </w:rPr>
      </w:pPr>
      <w:r>
        <w:rPr>
          <w:sz w:val="28"/>
          <w:szCs w:val="28"/>
        </w:rPr>
        <w:t xml:space="preserve">Управление водоснабжением, на объектах осуществляется в основном обслуживающим персоналом в ручном режиме, информация о состоянии системы водоснабжения передается средствами телефонной связи. На ряде объектов предусмотрена аварийная световая и звуковая сигнализация, предупреждения оператора о нарушении заданного технологического режима (процесса). </w:t>
      </w:r>
    </w:p>
    <w:p>
      <w:pPr>
        <w:spacing w:line="360" w:lineRule="auto"/>
        <w:ind w:firstLine="567"/>
        <w:jc w:val="both"/>
        <w:rPr>
          <w:sz w:val="28"/>
          <w:szCs w:val="28"/>
        </w:rPr>
      </w:pPr>
      <w:r>
        <w:rPr>
          <w:sz w:val="28"/>
          <w:szCs w:val="28"/>
        </w:rPr>
        <w:t>На отдельных объектах предусмотрена частичная автоматизация процесса водоснабжения: включение (выключение) оборудования в зависимости от заданного значения параметра, например включение и выключение скважных насосов в зависимости от уровня воды в резервуаре, установка частотно-регулируемых приводов на насосах второго подъема.</w:t>
      </w:r>
    </w:p>
    <w:p>
      <w:pPr>
        <w:spacing w:line="360" w:lineRule="auto"/>
        <w:ind w:firstLine="567"/>
        <w:jc w:val="both"/>
        <w:rPr>
          <w:sz w:val="28"/>
          <w:szCs w:val="28"/>
        </w:rPr>
      </w:pPr>
      <w:r>
        <w:rPr>
          <w:sz w:val="28"/>
          <w:szCs w:val="28"/>
        </w:rPr>
        <w:t>Элементов телемеханизации на объектах водоснабжения ТУ Одинцово, не предусмотрено.</w:t>
      </w:r>
    </w:p>
    <w:p>
      <w:pPr>
        <w:spacing w:line="360" w:lineRule="auto"/>
        <w:ind w:firstLine="567"/>
        <w:jc w:val="both"/>
        <w:rPr>
          <w:sz w:val="28"/>
          <w:szCs w:val="28"/>
        </w:rPr>
      </w:pPr>
      <w:r>
        <w:rPr>
          <w:sz w:val="28"/>
          <w:szCs w:val="28"/>
        </w:rPr>
        <w:t>Снабжение абонентов питьевой водой в ТУ Одинцово осуществляется от двадцати трех ИЦВ, расположенных в г. Одинцово, в селах Немчиновка и Ромашково, в деревнях Переделкино и Глазынино, поселках ДО Озера и Баковка в/г 20, через централизованную систему сетей водопровода различных диаметров и материалов, общей протяженностью 162,3 км. Сеть представлена системой магистральных, разводящих уличных и внутриквартальных трубопроводов. Водопроводные сети проложены подземным способом ниже глубины промерзания почвы. Средняя глубина заложения трубопроводов водопроводных сетей по «ТУ Одинцово» составляет 2 м. Вода с ИЦВ подается в сеть под напором, создаваемым насосными станциями первого подъема, второго подъема, водонапорными башнями.</w:t>
      </w:r>
    </w:p>
    <w:p>
      <w:pPr>
        <w:spacing w:line="360" w:lineRule="auto"/>
        <w:ind w:firstLine="567"/>
        <w:jc w:val="both"/>
        <w:rPr>
          <w:sz w:val="28"/>
          <w:szCs w:val="28"/>
        </w:rPr>
      </w:pPr>
      <w:r>
        <w:rPr>
          <w:sz w:val="28"/>
          <w:szCs w:val="28"/>
        </w:rPr>
        <w:t>Система централизованного водоснабжения ТУ Одинцово, обслуживаемая ОАО «Одинцовский Водоканал», включает в себя водопроводную сеть протяженностью около 120,1 км, 13 водозаборных узлов из которых четыре ВЗУ не эксплуатируются, 12 насосных станций 2-го подъема, 25 резервуаров чистой воды, 1 водонапорную башню.</w:t>
      </w:r>
    </w:p>
    <w:p>
      <w:pPr>
        <w:spacing w:line="360" w:lineRule="auto"/>
        <w:ind w:firstLine="567"/>
        <w:jc w:val="both"/>
        <w:rPr>
          <w:sz w:val="28"/>
          <w:szCs w:val="28"/>
        </w:rPr>
      </w:pPr>
      <w:r>
        <w:rPr>
          <w:sz w:val="28"/>
          <w:szCs w:val="28"/>
        </w:rPr>
        <w:t>В селах Немчиновка и Ромашково система водоснабжения, обслуживаемая АО "Одинцовская теплосеть", включает в себя 4 водозаборных узла одна из которых ВЗУ №5 резервная, 2 резервуара чистой воды, 2 водонапорные башни, 2 насосные станции 2-го подъёма, протяженность сетей составляет 17,5 км. Материалом трубопроводов ХВС является: полиэтилен, сталь, чугун. Диаметр трубопроводов от 100 мм до 250 мм.</w:t>
      </w:r>
    </w:p>
    <w:p>
      <w:pPr>
        <w:spacing w:line="360" w:lineRule="auto"/>
        <w:ind w:firstLine="567"/>
        <w:jc w:val="both"/>
        <w:rPr>
          <w:sz w:val="28"/>
          <w:szCs w:val="28"/>
        </w:rPr>
      </w:pPr>
      <w:r>
        <w:rPr>
          <w:sz w:val="28"/>
          <w:szCs w:val="28"/>
        </w:rPr>
        <w:t>ФСО России имеет два водозаборных узла и водопроводные сети протяженностью 2,2 км.</w:t>
      </w:r>
    </w:p>
    <w:p>
      <w:pPr>
        <w:spacing w:line="360" w:lineRule="auto"/>
        <w:ind w:firstLine="567"/>
        <w:jc w:val="both"/>
        <w:rPr>
          <w:sz w:val="28"/>
          <w:szCs w:val="28"/>
        </w:rPr>
      </w:pPr>
      <w:r>
        <w:rPr>
          <w:sz w:val="28"/>
          <w:szCs w:val="28"/>
        </w:rPr>
        <w:t>Значительная часть сетей водоснабжения была введена в эксплуатацию более 50 лет назад. Материал водопроводных сетей представлен сталью, чугуном, керамикой, полиэтиленом, ПНД. Диаметры трубопроводов составляют 25÷300 мм. Водовод «Рублево – Одинцово» Ду=900 мм был построен в 1978 году, протяженностью 12,45 км. В качестве регулирующей и секционирующей арматуры применяются чугунные и стальные задвижки диаметров 50, 80, 100, 200 мм, шаровые краны диаметром 100 мм. Обновление оборудования и сооружений водоснабжения производилось недостаточными темпами, что обусловило высокий уровень износа рассматриваемой инфраструктуры в целом. Износ сетей водоснабжения в среднем составляет 83,7%. Относительно высокий удельный вес протяженности водопроводных сетей, нуждающихся в замене, в общем протяжении водопроводных сетей является значительным фактором риска возникновения аварий в системе водоснабжения ТУ Одинцово. Около 90% технологических нарушений трубопроводов и оборудования водопроводных сетей, которые приводят к изливам воды и соответствующему ущербу, связаны с разгерметизацией трубопроводов, причиной которой являются в основном коррозионные повреждения: свищи, нарушение герметичности раструбных соединений и переломы труб. Наибольшее количество отказов (повреждений труб с раскопкой), происходит на стальных трубах водопроводной сети малых диаметров. Помимо того, высокий износ трубопроводов отрицательно сказывается на качестве хозяйственно-питьевой воды в местах водоразбора.</w:t>
      </w:r>
    </w:p>
    <w:p>
      <w:pPr>
        <w:spacing w:line="360" w:lineRule="auto"/>
        <w:ind w:firstLine="567"/>
        <w:jc w:val="both"/>
        <w:rPr>
          <w:sz w:val="28"/>
          <w:szCs w:val="28"/>
        </w:rPr>
      </w:pPr>
      <w:r>
        <w:rPr>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w:t>
      </w:r>
    </w:p>
    <w:p>
      <w:pPr>
        <w:spacing w:line="360" w:lineRule="auto"/>
        <w:ind w:firstLine="567"/>
        <w:jc w:val="both"/>
        <w:rPr>
          <w:sz w:val="28"/>
          <w:szCs w:val="28"/>
        </w:rPr>
      </w:pPr>
      <w:r>
        <w:rPr>
          <w:sz w:val="28"/>
          <w:szCs w:val="28"/>
        </w:rPr>
        <w:t>В последнее время чугунные и стальные трубопроводы заменяются полиэтиленовыми.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pPr>
        <w:spacing w:line="360" w:lineRule="auto"/>
        <w:ind w:firstLine="567"/>
        <w:jc w:val="both"/>
        <w:rPr>
          <w:sz w:val="28"/>
          <w:szCs w:val="28"/>
        </w:rPr>
      </w:pPr>
      <w:r>
        <w:rPr>
          <w:sz w:val="28"/>
          <w:szCs w:val="28"/>
        </w:rPr>
        <w:t>Технические характеристики насосных агрегатов 2-го подъема, установленных на насосных станциях, представлены в таблице 2.2-3.</w:t>
      </w:r>
    </w:p>
    <w:p>
      <w:pPr>
        <w:spacing w:line="360" w:lineRule="auto"/>
        <w:ind w:firstLine="567"/>
        <w:jc w:val="both"/>
        <w:rPr>
          <w:b/>
          <w:sz w:val="28"/>
          <w:szCs w:val="28"/>
        </w:rPr>
      </w:pPr>
      <w:r>
        <w:rPr>
          <w:b/>
          <w:sz w:val="28"/>
          <w:szCs w:val="28"/>
        </w:rPr>
        <w:t>Таблица 2.2-3 – Насосное оборудование станций второго подъема</w:t>
      </w:r>
    </w:p>
    <w:tbl>
      <w:tblPr>
        <w:tblStyle w:val="100"/>
        <w:tblW w:w="10123" w:type="dxa"/>
        <w:tblInd w:w="-459" w:type="dxa"/>
        <w:tblLayout w:type="fixed"/>
        <w:tblCellMar>
          <w:top w:w="0" w:type="dxa"/>
          <w:left w:w="108" w:type="dxa"/>
          <w:bottom w:w="0" w:type="dxa"/>
          <w:right w:w="108" w:type="dxa"/>
        </w:tblCellMar>
      </w:tblPr>
      <w:tblGrid>
        <w:gridCol w:w="600"/>
        <w:gridCol w:w="1555"/>
        <w:gridCol w:w="1134"/>
        <w:gridCol w:w="889"/>
        <w:gridCol w:w="2166"/>
        <w:gridCol w:w="1198"/>
        <w:gridCol w:w="1276"/>
        <w:gridCol w:w="1305"/>
      </w:tblGrid>
      <w:tr>
        <w:tblPrEx>
          <w:tblLayout w:type="fixed"/>
          <w:tblCellMar>
            <w:top w:w="0" w:type="dxa"/>
            <w:left w:w="108" w:type="dxa"/>
            <w:bottom w:w="0" w:type="dxa"/>
            <w:right w:w="108" w:type="dxa"/>
          </w:tblCellMar>
        </w:tblPrEx>
        <w:trPr>
          <w:trHeight w:val="408" w:hRule="atLeast"/>
          <w:tblHeader/>
        </w:trPr>
        <w:tc>
          <w:tcPr>
            <w:tcW w:w="6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 п/п</w:t>
            </w:r>
          </w:p>
        </w:tc>
        <w:tc>
          <w:tcPr>
            <w:tcW w:w="1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Наименование ВНС</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Марка насоса</w:t>
            </w:r>
          </w:p>
        </w:tc>
        <w:tc>
          <w:tcPr>
            <w:tcW w:w="8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Кол-во, шт.</w:t>
            </w:r>
          </w:p>
        </w:tc>
        <w:tc>
          <w:tcPr>
            <w:tcW w:w="4640" w:type="dxa"/>
            <w:gridSpan w:val="3"/>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Характеристика оборудования</w:t>
            </w:r>
          </w:p>
        </w:tc>
        <w:tc>
          <w:tcPr>
            <w:tcW w:w="130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Резервуары чистой воды</w:t>
            </w:r>
          </w:p>
        </w:tc>
      </w:tr>
      <w:tr>
        <w:tblPrEx>
          <w:tblLayout w:type="fixed"/>
          <w:tblCellMar>
            <w:top w:w="0" w:type="dxa"/>
            <w:left w:w="108" w:type="dxa"/>
            <w:bottom w:w="0" w:type="dxa"/>
            <w:right w:w="108" w:type="dxa"/>
          </w:tblCellMar>
        </w:tblPrEx>
        <w:trPr>
          <w:trHeight w:val="690" w:hRule="atLeast"/>
          <w:tblHeader/>
        </w:trPr>
        <w:tc>
          <w:tcPr>
            <w:tcW w:w="600" w:type="dxa"/>
            <w:vMerge w:val="continue"/>
            <w:tcBorders>
              <w:top w:val="single" w:color="auto" w:sz="4" w:space="0"/>
              <w:left w:val="single" w:color="auto" w:sz="4" w:space="0"/>
              <w:bottom w:val="single" w:color="000000" w:sz="4" w:space="0"/>
              <w:right w:val="single" w:color="auto" w:sz="4" w:space="0"/>
            </w:tcBorders>
            <w:vAlign w:val="center"/>
          </w:tcPr>
          <w:p>
            <w:pPr>
              <w:rPr>
                <w:b/>
                <w:bCs/>
                <w:color w:val="000000"/>
                <w:sz w:val="20"/>
                <w:szCs w:val="20"/>
              </w:rPr>
            </w:pPr>
          </w:p>
        </w:tc>
        <w:tc>
          <w:tcPr>
            <w:tcW w:w="1555"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2166"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Производительность, м</w:t>
            </w:r>
            <w:r>
              <w:rPr>
                <w:b/>
                <w:bCs/>
                <w:color w:val="000000"/>
                <w:sz w:val="20"/>
                <w:szCs w:val="20"/>
                <w:vertAlign w:val="superscript"/>
              </w:rPr>
              <w:t>3</w:t>
            </w:r>
            <w:r>
              <w:rPr>
                <w:b/>
                <w:bCs/>
                <w:color w:val="000000"/>
                <w:sz w:val="20"/>
                <w:szCs w:val="20"/>
              </w:rPr>
              <w:t>/час</w:t>
            </w:r>
          </w:p>
        </w:tc>
        <w:tc>
          <w:tcPr>
            <w:tcW w:w="1198"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Напор, м</w:t>
            </w:r>
          </w:p>
        </w:tc>
        <w:tc>
          <w:tcPr>
            <w:tcW w:w="1276"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Мощность двигателя, кВт</w:t>
            </w:r>
          </w:p>
        </w:tc>
        <w:tc>
          <w:tcPr>
            <w:tcW w:w="1305" w:type="dxa"/>
            <w:vMerge w:val="continue"/>
            <w:tcBorders>
              <w:top w:val="single" w:color="auto" w:sz="4" w:space="0"/>
              <w:left w:val="single" w:color="auto" w:sz="4" w:space="0"/>
              <w:bottom w:val="single" w:color="000000" w:sz="4" w:space="0"/>
              <w:right w:val="single" w:color="auto" w:sz="4" w:space="0"/>
            </w:tcBorders>
            <w:vAlign w:val="center"/>
          </w:tcPr>
          <w:p>
            <w:pPr>
              <w:rPr>
                <w:b/>
                <w:bCs/>
                <w:color w:val="000000"/>
                <w:sz w:val="20"/>
                <w:szCs w:val="20"/>
              </w:rPr>
            </w:pP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bottom"/>
          </w:tcPr>
          <w:p>
            <w:pPr>
              <w:jc w:val="center"/>
              <w:rPr>
                <w:b/>
                <w:bCs/>
                <w:color w:val="000000"/>
                <w:sz w:val="20"/>
                <w:szCs w:val="20"/>
              </w:rPr>
            </w:pPr>
            <w:r>
              <w:rPr>
                <w:b/>
                <w:bCs/>
                <w:color w:val="000000"/>
                <w:sz w:val="20"/>
                <w:szCs w:val="20"/>
              </w:rPr>
              <w:t>ОАО «Одинцовский Водоканал»</w:t>
            </w: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ВНС-1</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Д320-50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75</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2х800</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Д315-71</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315</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6НДВ</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23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ВНС-2</w:t>
            </w:r>
          </w:p>
        </w:tc>
        <w:tc>
          <w:tcPr>
            <w:tcW w:w="6663" w:type="dxa"/>
            <w:gridSpan w:val="5"/>
            <w:vMerge w:val="restart"/>
            <w:tcBorders>
              <w:top w:val="single" w:color="auto" w:sz="4" w:space="0"/>
              <w:left w:val="single" w:color="auto" w:sz="4" w:space="0"/>
              <w:bottom w:val="single" w:color="000000" w:sz="4" w:space="0"/>
              <w:right w:val="nil"/>
            </w:tcBorders>
            <w:shd w:val="clear" w:color="auto" w:fill="auto"/>
            <w:vAlign w:val="center"/>
          </w:tcPr>
          <w:p>
            <w:pPr>
              <w:jc w:val="center"/>
              <w:rPr>
                <w:color w:val="000000"/>
                <w:sz w:val="20"/>
                <w:szCs w:val="20"/>
              </w:rPr>
            </w:pPr>
            <w:r>
              <w:rPr>
                <w:color w:val="000000"/>
                <w:sz w:val="20"/>
                <w:szCs w:val="20"/>
              </w:rPr>
              <w:t>не рабочая</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2х800</w:t>
            </w:r>
          </w:p>
        </w:tc>
      </w:tr>
      <w:tr>
        <w:tblPrEx>
          <w:tblLayout w:type="fixed"/>
          <w:tblCellMar>
            <w:top w:w="0" w:type="dxa"/>
            <w:left w:w="108" w:type="dxa"/>
            <w:bottom w:w="0" w:type="dxa"/>
            <w:right w:w="108" w:type="dxa"/>
          </w:tblCellMar>
        </w:tblPrEx>
        <w:trPr>
          <w:trHeight w:val="458"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6663" w:type="dxa"/>
            <w:gridSpan w:val="5"/>
            <w:vMerge w:val="continue"/>
            <w:tcBorders>
              <w:top w:val="single" w:color="auto" w:sz="4" w:space="0"/>
              <w:left w:val="single" w:color="auto" w:sz="4" w:space="0"/>
              <w:bottom w:val="single" w:color="000000" w:sz="4" w:space="0"/>
              <w:right w:val="nil"/>
            </w:tcBorders>
            <w:vAlign w:val="center"/>
          </w:tcPr>
          <w:p>
            <w:pPr>
              <w:rPr>
                <w:color w:val="000000"/>
                <w:sz w:val="20"/>
                <w:szCs w:val="20"/>
              </w:rPr>
            </w:pP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ВНС-4</w:t>
            </w:r>
          </w:p>
        </w:tc>
        <w:tc>
          <w:tcPr>
            <w:tcW w:w="6663" w:type="dxa"/>
            <w:gridSpan w:val="5"/>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не рабочая</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№5</w:t>
            </w:r>
          </w:p>
        </w:tc>
        <w:tc>
          <w:tcPr>
            <w:tcW w:w="6663" w:type="dxa"/>
            <w:gridSpan w:val="5"/>
            <w:tcBorders>
              <w:top w:val="single" w:color="auto" w:sz="4" w:space="0"/>
              <w:left w:val="nil"/>
              <w:bottom w:val="single" w:color="auto" w:sz="4" w:space="0"/>
              <w:right w:val="nil"/>
            </w:tcBorders>
            <w:shd w:val="clear" w:color="auto" w:fill="auto"/>
            <w:vAlign w:val="center"/>
          </w:tcPr>
          <w:p>
            <w:pPr>
              <w:jc w:val="center"/>
              <w:rPr>
                <w:color w:val="000000"/>
                <w:sz w:val="20"/>
                <w:szCs w:val="20"/>
              </w:rPr>
            </w:pPr>
            <w:r>
              <w:rPr>
                <w:color w:val="000000"/>
                <w:sz w:val="20"/>
                <w:szCs w:val="20"/>
              </w:rPr>
              <w:t>не рабочая</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1х200</w:t>
            </w: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ВНС-6</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1Д200-90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90</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2х1000</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К100-65-250 </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45</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К90-85</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45</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ВНС-7</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Д320-50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75</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2х1000, 2х5000</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Д315-71</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2166" w:type="dxa"/>
            <w:tcBorders>
              <w:top w:val="nil"/>
              <w:left w:val="nil"/>
              <w:bottom w:val="single" w:color="auto" w:sz="4" w:space="0"/>
              <w:right w:val="single" w:color="auto" w:sz="4" w:space="0"/>
            </w:tcBorders>
            <w:shd w:val="clear" w:color="auto" w:fill="auto"/>
            <w:vAlign w:val="center"/>
          </w:tcPr>
          <w:p>
            <w:pPr>
              <w:jc w:val="center"/>
              <w:rPr>
                <w:rFonts w:ascii="Calibri" w:hAnsi="Calibri"/>
                <w:color w:val="000000"/>
                <w:sz w:val="20"/>
                <w:szCs w:val="20"/>
              </w:rPr>
            </w:pPr>
            <w:r>
              <w:rPr>
                <w:rFonts w:ascii="Calibri" w:hAnsi="Calibri"/>
                <w:color w:val="000000"/>
                <w:sz w:val="20"/>
                <w:szCs w:val="20"/>
              </w:rPr>
              <w:t>315</w:t>
            </w:r>
          </w:p>
        </w:tc>
        <w:tc>
          <w:tcPr>
            <w:tcW w:w="1198" w:type="dxa"/>
            <w:tcBorders>
              <w:top w:val="nil"/>
              <w:left w:val="nil"/>
              <w:bottom w:val="single" w:color="auto" w:sz="4" w:space="0"/>
              <w:right w:val="single" w:color="auto" w:sz="4" w:space="0"/>
            </w:tcBorders>
            <w:shd w:val="clear" w:color="auto" w:fill="auto"/>
            <w:vAlign w:val="center"/>
          </w:tcPr>
          <w:p>
            <w:pPr>
              <w:jc w:val="center"/>
              <w:rPr>
                <w:rFonts w:ascii="Calibri" w:hAnsi="Calibri"/>
                <w:color w:val="000000"/>
                <w:sz w:val="20"/>
                <w:szCs w:val="20"/>
              </w:rPr>
            </w:pPr>
            <w:r>
              <w:rPr>
                <w:rFonts w:ascii="Calibri" w:hAnsi="Calibri"/>
                <w:color w:val="000000"/>
                <w:sz w:val="20"/>
                <w:szCs w:val="20"/>
              </w:rPr>
              <w:t>71</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Calibri" w:hAnsi="Calibri"/>
                <w:color w:val="000000"/>
                <w:sz w:val="20"/>
                <w:szCs w:val="20"/>
              </w:rPr>
            </w:pPr>
            <w:r>
              <w:rPr>
                <w:rFonts w:ascii="Calibri" w:hAnsi="Calibri"/>
                <w:color w:val="000000"/>
                <w:sz w:val="20"/>
                <w:szCs w:val="20"/>
              </w:rPr>
              <w:t>110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Д320-70А</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75</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Д800-56Б</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ВНС-8</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1Д630-90А</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74</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185</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2х1000, 2х10000</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1Д1250-63Б</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53</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1Д630-90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630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1Д315-70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315</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Д320-50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75</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ВНС-9</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Grundfos CR4 -2А-F-А-Е-HQQE </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64</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30,4</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2х3400</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ВНС-10</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WILO NL 150/400-75-4-12</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2х500</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«Трехгорка» 1 очередь</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lang w:val="en-US"/>
              </w:rPr>
            </w:pPr>
            <w:r>
              <w:rPr>
                <w:color w:val="000000"/>
                <w:sz w:val="20"/>
                <w:szCs w:val="20"/>
                <w:lang w:val="en-US"/>
              </w:rPr>
              <w:t xml:space="preserve">Grundfos  CR 90 -3-2 </w:t>
            </w:r>
            <w:r>
              <w:rPr>
                <w:color w:val="000000"/>
                <w:sz w:val="20"/>
                <w:szCs w:val="20"/>
              </w:rPr>
              <w:t>А</w:t>
            </w:r>
            <w:r>
              <w:rPr>
                <w:color w:val="000000"/>
                <w:sz w:val="20"/>
                <w:szCs w:val="20"/>
                <w:lang w:val="en-US"/>
              </w:rPr>
              <w:t>-F-A-E-HQQE</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53</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2х500</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«Трехгорка» 2 очередь</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Wilo-EMU K 127 NU801T-2/55</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268</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30,2</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2х3800</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Переделки</w:t>
            </w:r>
          </w:p>
        </w:tc>
        <w:tc>
          <w:tcPr>
            <w:tcW w:w="6663" w:type="dxa"/>
            <w:gridSpan w:val="5"/>
            <w:tcBorders>
              <w:top w:val="single" w:color="auto" w:sz="4" w:space="0"/>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Нет насосной станции 2-го подъема</w:t>
            </w:r>
          </w:p>
        </w:tc>
        <w:tc>
          <w:tcPr>
            <w:tcW w:w="1305" w:type="dxa"/>
            <w:tcBorders>
              <w:top w:val="nil"/>
              <w:left w:val="nil"/>
              <w:bottom w:val="single" w:color="auto" w:sz="4" w:space="0"/>
              <w:right w:val="single" w:color="auto" w:sz="4" w:space="0"/>
            </w:tcBorders>
            <w:shd w:val="clear" w:color="auto" w:fill="auto"/>
            <w:vAlign w:val="center"/>
          </w:tcPr>
          <w:p>
            <w:pPr>
              <w:jc w:val="center"/>
              <w:rPr>
                <w:rFonts w:ascii="Calibri" w:hAnsi="Calibri"/>
                <w:color w:val="000000"/>
                <w:sz w:val="22"/>
              </w:rPr>
            </w:pPr>
            <w:r>
              <w:rPr>
                <w:rFonts w:ascii="Calibri" w:hAnsi="Calibri"/>
                <w:color w:val="000000"/>
                <w:sz w:val="22"/>
              </w:rPr>
              <w:t>-</w:t>
            </w: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мкр.Одинцово-1</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1К 80-50-200 Б</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36</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1х150,</w:t>
            </w:r>
            <w:r>
              <w:rPr>
                <w:color w:val="000000"/>
                <w:sz w:val="20"/>
                <w:szCs w:val="20"/>
              </w:rPr>
              <w:br w:type="textWrapping"/>
            </w:r>
            <w:r>
              <w:rPr>
                <w:color w:val="000000"/>
                <w:sz w:val="20"/>
                <w:szCs w:val="20"/>
              </w:rPr>
              <w:t xml:space="preserve">1х100 </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КМ 100-65-200 С</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КМ 80-50-200</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АО "Одинцовская теплосеть"</w:t>
            </w:r>
          </w:p>
        </w:tc>
      </w:tr>
      <w:tr>
        <w:tblPrEx>
          <w:tblLayout w:type="fixed"/>
          <w:tblCellMar>
            <w:top w:w="0" w:type="dxa"/>
            <w:left w:w="108" w:type="dxa"/>
            <w:bottom w:w="0" w:type="dxa"/>
            <w:right w:w="108" w:type="dxa"/>
          </w:tblCellMar>
        </w:tblPrEx>
        <w:trPr>
          <w:trHeight w:val="340" w:hRule="atLeast"/>
        </w:trPr>
        <w:tc>
          <w:tcPr>
            <w:tcW w:w="60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w:t>
            </w:r>
          </w:p>
        </w:tc>
        <w:tc>
          <w:tcPr>
            <w:tcW w:w="155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«Немчиновка»</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К45/30 </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45</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6,5</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2х150</w:t>
            </w:r>
          </w:p>
        </w:tc>
      </w:tr>
      <w:tr>
        <w:tblPrEx>
          <w:tblLayout w:type="fixed"/>
          <w:tblCellMar>
            <w:top w:w="0" w:type="dxa"/>
            <w:left w:w="108" w:type="dxa"/>
            <w:bottom w:w="0" w:type="dxa"/>
            <w:right w:w="108" w:type="dxa"/>
          </w:tblCellMar>
        </w:tblPrEx>
        <w:trPr>
          <w:trHeight w:val="340" w:hRule="atLeast"/>
        </w:trPr>
        <w:tc>
          <w:tcPr>
            <w:tcW w:w="600"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55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К100-65-200А </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18,5</w:t>
            </w:r>
          </w:p>
        </w:tc>
        <w:tc>
          <w:tcPr>
            <w:tcW w:w="1305" w:type="dxa"/>
            <w:vMerge w:val="continue"/>
            <w:tcBorders>
              <w:top w:val="nil"/>
              <w:left w:val="single" w:color="auto" w:sz="4" w:space="0"/>
              <w:bottom w:val="single" w:color="auto" w:sz="4" w:space="0"/>
              <w:right w:val="single" w:color="auto" w:sz="4"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w:t>
            </w:r>
          </w:p>
        </w:tc>
        <w:tc>
          <w:tcPr>
            <w:tcW w:w="1555"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1134"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889"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2166"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1198"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1276"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c>
          <w:tcPr>
            <w:tcW w:w="1305" w:type="dxa"/>
            <w:tcBorders>
              <w:top w:val="nil"/>
              <w:left w:val="nil"/>
              <w:bottom w:val="single" w:color="auto" w:sz="4" w:space="0"/>
              <w:right w:val="single" w:color="auto" w:sz="4" w:space="0"/>
            </w:tcBorders>
            <w:shd w:val="clear" w:color="auto" w:fill="auto"/>
            <w:vAlign w:val="bottom"/>
          </w:tcPr>
          <w:p>
            <w:pPr>
              <w:jc w:val="center"/>
              <w:rPr>
                <w:rFonts w:ascii="Calibri" w:hAnsi="Calibri"/>
                <w:color w:val="000000"/>
                <w:sz w:val="22"/>
              </w:rPr>
            </w:pP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ПНС «Верхнее Ромашково»</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550Д22А</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110</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1х50</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xml:space="preserve"> «Нижнее Ромашково»</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Водонапорная башня</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1х50</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"Теплосервис-М"</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w:t>
            </w:r>
          </w:p>
        </w:tc>
        <w:tc>
          <w:tcPr>
            <w:tcW w:w="1555" w:type="dxa"/>
            <w:tcBorders>
              <w:top w:val="nil"/>
              <w:left w:val="nil"/>
              <w:bottom w:val="single" w:color="auto" w:sz="4" w:space="0"/>
              <w:right w:val="single" w:color="auto" w:sz="4" w:space="0"/>
            </w:tcBorders>
            <w:shd w:val="clear" w:color="auto" w:fill="auto"/>
            <w:vAlign w:val="center"/>
          </w:tcPr>
          <w:p>
            <w:pPr>
              <w:rPr>
                <w:color w:val="000000"/>
                <w:sz w:val="20"/>
                <w:szCs w:val="20"/>
              </w:rPr>
            </w:pPr>
            <w:r>
              <w:rPr>
                <w:color w:val="000000"/>
                <w:sz w:val="20"/>
                <w:szCs w:val="20"/>
              </w:rPr>
              <w:t>ВНС ЖК "Сколковский"</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"Lowara" NSCS 65-160/150/P25VCC4</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113</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35</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2х1065</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"ЖК-Ресурс"</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ЖК "Гусарская баллада"</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BL80/200-30/2</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200</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42,3</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30</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2х1500</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ООО "ТеплоЭнергоСервис"</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ВНС ЖК "Микрорайон Немчиновка"</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Wilo-Multivert MVI9502-3/16/E/3-400-50-2</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95</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163</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18,5</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ФГБУ «ЦЖКУ»</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21</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Баковка, в/г 20</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ГУП «Московский метрополитен»</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22</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санаторий «Баковка»</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340" w:hRule="atLeast"/>
        </w:trPr>
        <w:tc>
          <w:tcPr>
            <w:tcW w:w="1012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Федеральная служба охраны (ФСО) России</w:t>
            </w:r>
          </w:p>
        </w:tc>
      </w:tr>
      <w:tr>
        <w:tblPrEx>
          <w:tblLayout w:type="fixed"/>
          <w:tblCellMar>
            <w:top w:w="0" w:type="dxa"/>
            <w:left w:w="108" w:type="dxa"/>
            <w:bottom w:w="0" w:type="dxa"/>
            <w:right w:w="108" w:type="dxa"/>
          </w:tblCellMar>
        </w:tblPrEx>
        <w:trPr>
          <w:trHeight w:val="3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23</w:t>
            </w:r>
          </w:p>
        </w:tc>
        <w:tc>
          <w:tcPr>
            <w:tcW w:w="155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ВЗУ «Озера»</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88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216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19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276"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130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r>
    </w:tbl>
    <w:p>
      <w:pPr>
        <w:spacing w:line="360" w:lineRule="auto"/>
        <w:ind w:firstLine="567"/>
        <w:jc w:val="both"/>
        <w:rPr>
          <w:sz w:val="28"/>
          <w:szCs w:val="28"/>
        </w:rPr>
      </w:pPr>
    </w:p>
    <w:p>
      <w:pPr>
        <w:spacing w:line="360" w:lineRule="auto"/>
        <w:ind w:firstLine="567"/>
        <w:jc w:val="both"/>
        <w:rPr>
          <w:sz w:val="28"/>
          <w:szCs w:val="28"/>
        </w:rPr>
      </w:pPr>
      <w:r>
        <w:rPr>
          <w:sz w:val="28"/>
          <w:szCs w:val="28"/>
        </w:rPr>
        <w:t>Повысительные насосные станции нужны для обеспечения необходимого напора в системе водоснабжения. В системах водоснабжения муниципального образования повысительная насосная станция (ПНС) входит в состав ВЗУ №7 «Верхнее Ромашково» (ул. Раздоровская) в с. Ромашково. Год ввода в эксплуатацию 2006 год. На ПНС установлены три насоса марки 550Д22А (G=1800 м3/ч, H=15 м, N=110 кВт), с затворами дисковыми Ду500 и Py10 c электропроводом, задвижками параллельными Ду400 и Py6 в обвязке стальных трубопроводов Ду1000мм, 800 мм, 500 мм, 400 мм, 100 мм и 50 мм. Регулирование напора на выходе с насосной станции осуществляется в автоматическом режиме, применением частотно-регулируемых приводов.</w:t>
      </w:r>
    </w:p>
    <w:p>
      <w:pPr>
        <w:spacing w:line="360" w:lineRule="auto"/>
        <w:ind w:firstLine="567"/>
        <w:jc w:val="both"/>
        <w:rPr>
          <w:sz w:val="28"/>
          <w:szCs w:val="28"/>
        </w:rPr>
      </w:pPr>
      <w:r>
        <w:rPr>
          <w:sz w:val="28"/>
          <w:szCs w:val="28"/>
        </w:rPr>
        <w:t>Использование в технологическом цикле большого количества насосного оборудования приводит к высокой доле затрат на электроэнергию в себестоимости. Для объективной оценки расходов электроэнергии на производство и доставку воды до потребителя используется показатель удельных характеристик её расхода.</w:t>
      </w:r>
    </w:p>
    <w:p>
      <w:pPr>
        <w:spacing w:line="360" w:lineRule="auto"/>
        <w:ind w:firstLine="567"/>
        <w:jc w:val="both"/>
        <w:rPr>
          <w:sz w:val="28"/>
          <w:szCs w:val="28"/>
        </w:rPr>
      </w:pPr>
      <w:r>
        <w:rPr>
          <w:sz w:val="28"/>
          <w:szCs w:val="28"/>
        </w:rPr>
        <w:t>Для «ТУ Одинцово» среднегодовой удельный показатель затрат электроэнергии на перекачку воды составляет 0,6685 кВт/м3.</w:t>
      </w:r>
    </w:p>
    <w:p>
      <w:pPr>
        <w:spacing w:line="360" w:lineRule="auto"/>
        <w:ind w:firstLine="567"/>
        <w:jc w:val="both"/>
        <w:rPr>
          <w:sz w:val="28"/>
          <w:szCs w:val="28"/>
        </w:rPr>
      </w:pPr>
      <w:r>
        <w:rPr>
          <w:sz w:val="28"/>
          <w:szCs w:val="28"/>
        </w:rPr>
        <w:t>Значения удельных суммарных затрат электроэнергии на производство и транспорт воды питьевого качества в системе централизованного питьевого водоснабжения «ТУ Одинцово» представлены в таблице 2.2-4.</w:t>
      </w:r>
    </w:p>
    <w:p>
      <w:pPr>
        <w:spacing w:line="360" w:lineRule="auto"/>
        <w:ind w:firstLine="567"/>
        <w:jc w:val="both"/>
        <w:rPr>
          <w:b/>
          <w:sz w:val="28"/>
          <w:szCs w:val="28"/>
        </w:rPr>
      </w:pPr>
      <w:r>
        <w:rPr>
          <w:b/>
          <w:sz w:val="28"/>
          <w:szCs w:val="28"/>
        </w:rPr>
        <w:t>Таблица 2.2-4 – Удельные затраты электроэнергии на производство и транспорт воды питьевого качества в «ТУ Одинцово»</w:t>
      </w:r>
    </w:p>
    <w:tbl>
      <w:tblPr>
        <w:tblStyle w:val="100"/>
        <w:tblW w:w="10164" w:type="dxa"/>
        <w:tblInd w:w="-176" w:type="dxa"/>
        <w:tblLayout w:type="fixed"/>
        <w:tblCellMar>
          <w:top w:w="0" w:type="dxa"/>
          <w:left w:w="108" w:type="dxa"/>
          <w:bottom w:w="0" w:type="dxa"/>
          <w:right w:w="108" w:type="dxa"/>
        </w:tblCellMar>
      </w:tblPr>
      <w:tblGrid>
        <w:gridCol w:w="2269"/>
        <w:gridCol w:w="1417"/>
        <w:gridCol w:w="1347"/>
        <w:gridCol w:w="1092"/>
        <w:gridCol w:w="1134"/>
        <w:gridCol w:w="1417"/>
        <w:gridCol w:w="1488"/>
      </w:tblGrid>
      <w:tr>
        <w:tblPrEx>
          <w:tblLayout w:type="fixed"/>
          <w:tblCellMar>
            <w:top w:w="0" w:type="dxa"/>
            <w:left w:w="108" w:type="dxa"/>
            <w:bottom w:w="0" w:type="dxa"/>
            <w:right w:w="108" w:type="dxa"/>
          </w:tblCellMar>
        </w:tblPrEx>
        <w:trPr>
          <w:trHeight w:val="352" w:hRule="atLeast"/>
          <w:tblHeader/>
        </w:trPr>
        <w:tc>
          <w:tcPr>
            <w:tcW w:w="22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Наименование</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Водоотбор артезианской воды</w:t>
            </w:r>
          </w:p>
        </w:tc>
        <w:tc>
          <w:tcPr>
            <w:tcW w:w="13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Вода, полученная со стороны</w:t>
            </w:r>
          </w:p>
        </w:tc>
        <w:tc>
          <w:tcPr>
            <w:tcW w:w="10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Всего</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Реализация</w:t>
            </w:r>
          </w:p>
        </w:tc>
        <w:tc>
          <w:tcPr>
            <w:tcW w:w="1417"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Потребление электроэнергии</w:t>
            </w:r>
          </w:p>
        </w:tc>
        <w:tc>
          <w:tcPr>
            <w:tcW w:w="14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Удельное потребление электроэнергии</w:t>
            </w:r>
          </w:p>
        </w:tc>
      </w:tr>
      <w:tr>
        <w:tblPrEx>
          <w:tblLayout w:type="fixed"/>
          <w:tblCellMar>
            <w:top w:w="0" w:type="dxa"/>
            <w:left w:w="108" w:type="dxa"/>
            <w:bottom w:w="0" w:type="dxa"/>
            <w:right w:w="108" w:type="dxa"/>
          </w:tblCellMar>
        </w:tblPrEx>
        <w:trPr>
          <w:trHeight w:val="90" w:hRule="atLeast"/>
          <w:tblHeader/>
        </w:trPr>
        <w:tc>
          <w:tcPr>
            <w:tcW w:w="2269"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347"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41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Всего</w:t>
            </w:r>
          </w:p>
        </w:tc>
        <w:tc>
          <w:tcPr>
            <w:tcW w:w="1488"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r>
      <w:tr>
        <w:tblPrEx>
          <w:tblLayout w:type="fixed"/>
          <w:tblCellMar>
            <w:top w:w="0" w:type="dxa"/>
            <w:left w:w="108" w:type="dxa"/>
            <w:bottom w:w="0" w:type="dxa"/>
            <w:right w:w="108" w:type="dxa"/>
          </w:tblCellMar>
        </w:tblPrEx>
        <w:trPr>
          <w:trHeight w:val="419" w:hRule="atLeast"/>
          <w:tblHeader/>
        </w:trPr>
        <w:tc>
          <w:tcPr>
            <w:tcW w:w="2269"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0"/>
                <w:szCs w:val="20"/>
              </w:rPr>
            </w:pPr>
          </w:p>
        </w:tc>
        <w:tc>
          <w:tcPr>
            <w:tcW w:w="141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/год</w:t>
            </w:r>
          </w:p>
        </w:tc>
        <w:tc>
          <w:tcPr>
            <w:tcW w:w="134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/год</w:t>
            </w:r>
          </w:p>
        </w:tc>
        <w:tc>
          <w:tcPr>
            <w:tcW w:w="1092"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/год</w:t>
            </w:r>
          </w:p>
        </w:tc>
        <w:tc>
          <w:tcPr>
            <w:tcW w:w="1134"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м</w:t>
            </w:r>
            <w:r>
              <w:rPr>
                <w:b/>
                <w:bCs/>
                <w:color w:val="000000"/>
                <w:sz w:val="20"/>
                <w:szCs w:val="20"/>
                <w:vertAlign w:val="superscript"/>
              </w:rPr>
              <w:t>3</w:t>
            </w:r>
            <w:r>
              <w:rPr>
                <w:b/>
                <w:bCs/>
                <w:color w:val="000000"/>
                <w:sz w:val="20"/>
                <w:szCs w:val="20"/>
              </w:rPr>
              <w:t>/год</w:t>
            </w:r>
          </w:p>
        </w:tc>
        <w:tc>
          <w:tcPr>
            <w:tcW w:w="141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кВт*ч</w:t>
            </w:r>
          </w:p>
        </w:tc>
        <w:tc>
          <w:tcPr>
            <w:tcW w:w="1488"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кВт*ч/м</w:t>
            </w:r>
            <w:r>
              <w:rPr>
                <w:b/>
                <w:bCs/>
                <w:color w:val="000000"/>
                <w:sz w:val="20"/>
                <w:szCs w:val="20"/>
                <w:vertAlign w:val="superscript"/>
              </w:rPr>
              <w:t>3</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 xml:space="preserve">ОАО «Одинцовский Водоканал» </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8365177</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7305950*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15671127</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13236095</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10299332</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0,657</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АО "Одинцовская теплосеть"</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417796</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417796</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348844</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384560</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0,920</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ООО "Теплосервис-М"</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1359434</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1359434</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955601</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294718</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0,217</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ООО "ЖК-Ресурс"</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738862</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738862</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709380</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868532</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1,175</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ООО "ТеплоЭнергоСервис"</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207417</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207417</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204026</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373858</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1,802</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ФГБУ «ЦЖКУ»</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28317</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28317</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27644</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81300</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2,871</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ГУП «Московский метрополитен»</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12525</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12525</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11789</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12350</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0,986</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color w:val="000000"/>
                <w:sz w:val="20"/>
                <w:szCs w:val="20"/>
              </w:rPr>
            </w:pPr>
            <w:r>
              <w:rPr>
                <w:color w:val="000000"/>
                <w:sz w:val="20"/>
                <w:szCs w:val="20"/>
              </w:rPr>
              <w:t>Федеральная служба охраны (ФСО) России</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25485</w:t>
            </w:r>
          </w:p>
        </w:tc>
        <w:tc>
          <w:tcPr>
            <w:tcW w:w="134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092"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25485</w:t>
            </w:r>
          </w:p>
        </w:tc>
        <w:tc>
          <w:tcPr>
            <w:tcW w:w="11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25348</w:t>
            </w:r>
          </w:p>
        </w:tc>
        <w:tc>
          <w:tcPr>
            <w:tcW w:w="141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26142</w:t>
            </w:r>
          </w:p>
        </w:tc>
        <w:tc>
          <w:tcPr>
            <w:tcW w:w="148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1,026</w:t>
            </w:r>
          </w:p>
        </w:tc>
      </w:tr>
      <w:tr>
        <w:tblPrEx>
          <w:tblLayout w:type="fixed"/>
          <w:tblCellMar>
            <w:top w:w="0" w:type="dxa"/>
            <w:left w:w="108" w:type="dxa"/>
            <w:bottom w:w="0" w:type="dxa"/>
            <w:right w:w="108" w:type="dxa"/>
          </w:tblCellMar>
        </w:tblPrEx>
        <w:trPr>
          <w:trHeight w:val="340" w:hRule="atLeast"/>
        </w:trPr>
        <w:tc>
          <w:tcPr>
            <w:tcW w:w="2269" w:type="dxa"/>
            <w:tcBorders>
              <w:top w:val="nil"/>
              <w:left w:val="single" w:color="auto" w:sz="4" w:space="0"/>
              <w:bottom w:val="single" w:color="auto" w:sz="4" w:space="0"/>
              <w:right w:val="single" w:color="auto" w:sz="4" w:space="0"/>
            </w:tcBorders>
            <w:shd w:val="clear" w:color="000000" w:fill="FFFFFF"/>
            <w:vAlign w:val="center"/>
          </w:tcPr>
          <w:p>
            <w:pPr>
              <w:jc w:val="center"/>
              <w:rPr>
                <w:b/>
                <w:bCs/>
                <w:color w:val="000000"/>
                <w:sz w:val="20"/>
                <w:szCs w:val="20"/>
              </w:rPr>
            </w:pPr>
            <w:r>
              <w:rPr>
                <w:b/>
                <w:bCs/>
                <w:color w:val="000000"/>
                <w:sz w:val="20"/>
                <w:szCs w:val="20"/>
              </w:rPr>
              <w:t>Всего по ТУ Одинцово</w:t>
            </w:r>
          </w:p>
        </w:tc>
        <w:tc>
          <w:tcPr>
            <w:tcW w:w="141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11155013</w:t>
            </w:r>
          </w:p>
        </w:tc>
        <w:tc>
          <w:tcPr>
            <w:tcW w:w="134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7305950</w:t>
            </w:r>
          </w:p>
        </w:tc>
        <w:tc>
          <w:tcPr>
            <w:tcW w:w="1092"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18460963</w:t>
            </w:r>
          </w:p>
        </w:tc>
        <w:tc>
          <w:tcPr>
            <w:tcW w:w="1134"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15518727</w:t>
            </w:r>
          </w:p>
        </w:tc>
        <w:tc>
          <w:tcPr>
            <w:tcW w:w="1417"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12340792</w:t>
            </w:r>
          </w:p>
        </w:tc>
        <w:tc>
          <w:tcPr>
            <w:tcW w:w="1488" w:type="dxa"/>
            <w:tcBorders>
              <w:top w:val="nil"/>
              <w:left w:val="nil"/>
              <w:bottom w:val="single" w:color="auto" w:sz="4" w:space="0"/>
              <w:right w:val="single" w:color="auto" w:sz="4" w:space="0"/>
            </w:tcBorders>
            <w:shd w:val="clear" w:color="auto" w:fill="auto"/>
            <w:vAlign w:val="center"/>
          </w:tcPr>
          <w:p>
            <w:pPr>
              <w:jc w:val="center"/>
              <w:rPr>
                <w:b/>
                <w:bCs/>
                <w:color w:val="000000"/>
                <w:sz w:val="20"/>
                <w:szCs w:val="20"/>
              </w:rPr>
            </w:pPr>
            <w:r>
              <w:rPr>
                <w:b/>
                <w:bCs/>
                <w:color w:val="000000"/>
                <w:sz w:val="20"/>
                <w:szCs w:val="20"/>
              </w:rPr>
              <w:t>0,6685</w:t>
            </w:r>
          </w:p>
        </w:tc>
      </w:tr>
    </w:tbl>
    <w:p>
      <w:pPr>
        <w:spacing w:line="360" w:lineRule="auto"/>
        <w:ind w:firstLine="567"/>
        <w:jc w:val="both"/>
        <w:rPr>
          <w:sz w:val="28"/>
          <w:szCs w:val="28"/>
        </w:rPr>
      </w:pPr>
    </w:p>
    <w:p>
      <w:pPr>
        <w:spacing w:line="360" w:lineRule="auto"/>
        <w:ind w:firstLine="567"/>
        <w:jc w:val="both"/>
        <w:rPr>
          <w:sz w:val="28"/>
          <w:szCs w:val="28"/>
        </w:rPr>
      </w:pPr>
      <w:r>
        <w:rPr>
          <w:sz w:val="28"/>
          <w:szCs w:val="28"/>
        </w:rPr>
        <w:t>Значения договорных нагрузок потребителей в системе централизованного питьевого водоснабжения «ТУ Одинцово» представлены в таблице 2.2-5.</w:t>
      </w:r>
    </w:p>
    <w:p>
      <w:pPr>
        <w:spacing w:line="360" w:lineRule="auto"/>
        <w:jc w:val="both"/>
        <w:rPr>
          <w:b/>
          <w:sz w:val="28"/>
          <w:szCs w:val="28"/>
        </w:rPr>
      </w:pPr>
      <w:r>
        <w:rPr>
          <w:b/>
          <w:sz w:val="28"/>
          <w:szCs w:val="28"/>
        </w:rPr>
        <w:t>Таблица 2.2-5 – Договорные нагрузки потребителей питьевого водоснабжения в элементах территориального деления «ТУ Одинцово»</w:t>
      </w:r>
    </w:p>
    <w:tbl>
      <w:tblPr>
        <w:tblStyle w:val="100"/>
        <w:tblW w:w="9498" w:type="dxa"/>
        <w:tblInd w:w="-5" w:type="dxa"/>
        <w:tblLayout w:type="fixed"/>
        <w:tblCellMar>
          <w:top w:w="0" w:type="dxa"/>
          <w:left w:w="108" w:type="dxa"/>
          <w:bottom w:w="0" w:type="dxa"/>
          <w:right w:w="108" w:type="dxa"/>
        </w:tblCellMar>
      </w:tblPr>
      <w:tblGrid>
        <w:gridCol w:w="3402"/>
        <w:gridCol w:w="1985"/>
        <w:gridCol w:w="1984"/>
        <w:gridCol w:w="2127"/>
      </w:tblGrid>
      <w:tr>
        <w:tblPrEx>
          <w:tblLayout w:type="fixed"/>
          <w:tblCellMar>
            <w:top w:w="0" w:type="dxa"/>
            <w:left w:w="108" w:type="dxa"/>
            <w:bottom w:w="0" w:type="dxa"/>
            <w:right w:w="108" w:type="dxa"/>
          </w:tblCellMar>
        </w:tblPrEx>
        <w:trPr>
          <w:trHeight w:val="300" w:hRule="atLeast"/>
        </w:trPr>
        <w:tc>
          <w:tcPr>
            <w:tcW w:w="34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Наименование элемента территориального деления</w:t>
            </w:r>
          </w:p>
        </w:tc>
        <w:tc>
          <w:tcPr>
            <w:tcW w:w="6096"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b/>
                <w:bCs/>
                <w:color w:val="000000"/>
                <w:sz w:val="22"/>
              </w:rPr>
            </w:pPr>
            <w:r>
              <w:rPr>
                <w:b/>
                <w:bCs/>
                <w:color w:val="000000"/>
                <w:sz w:val="22"/>
              </w:rPr>
              <w:t>Договорные нагрузки питьевой воды</w:t>
            </w:r>
          </w:p>
        </w:tc>
      </w:tr>
      <w:tr>
        <w:tblPrEx>
          <w:tblLayout w:type="fixed"/>
          <w:tblCellMar>
            <w:top w:w="0" w:type="dxa"/>
            <w:left w:w="108" w:type="dxa"/>
            <w:bottom w:w="0" w:type="dxa"/>
            <w:right w:w="108" w:type="dxa"/>
          </w:tblCellMar>
        </w:tblPrEx>
        <w:trPr>
          <w:trHeight w:val="855"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2"/>
              </w:rPr>
            </w:pP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среднесуточное потребление</w:t>
            </w:r>
          </w:p>
        </w:tc>
        <w:tc>
          <w:tcPr>
            <w:tcW w:w="1984"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В сутки наибольшего потребления</w:t>
            </w:r>
          </w:p>
        </w:tc>
        <w:tc>
          <w:tcPr>
            <w:tcW w:w="2127"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В час максимального потребления</w:t>
            </w:r>
          </w:p>
        </w:tc>
      </w:tr>
      <w:tr>
        <w:tblPrEx>
          <w:tblLayout w:type="fixed"/>
          <w:tblCellMar>
            <w:top w:w="0" w:type="dxa"/>
            <w:left w:w="108" w:type="dxa"/>
            <w:bottom w:w="0" w:type="dxa"/>
            <w:right w:w="108" w:type="dxa"/>
          </w:tblCellMar>
        </w:tblPrEx>
        <w:trPr>
          <w:trHeight w:val="257" w:hRule="atLeast"/>
        </w:trPr>
        <w:tc>
          <w:tcPr>
            <w:tcW w:w="3402" w:type="dxa"/>
            <w:vMerge w:val="continue"/>
            <w:tcBorders>
              <w:top w:val="single" w:color="auto" w:sz="4" w:space="0"/>
              <w:left w:val="single" w:color="auto" w:sz="4" w:space="0"/>
              <w:bottom w:val="single" w:color="auto" w:sz="4" w:space="0"/>
              <w:right w:val="single" w:color="auto" w:sz="4" w:space="0"/>
            </w:tcBorders>
            <w:vAlign w:val="center"/>
          </w:tcPr>
          <w:p>
            <w:pPr>
              <w:rPr>
                <w:b/>
                <w:bCs/>
                <w:color w:val="000000"/>
                <w:sz w:val="22"/>
              </w:rPr>
            </w:pP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м</w:t>
            </w:r>
            <w:r>
              <w:rPr>
                <w:b/>
                <w:bCs/>
                <w:color w:val="000000"/>
                <w:sz w:val="22"/>
                <w:vertAlign w:val="superscript"/>
              </w:rPr>
              <w:t>3</w:t>
            </w:r>
            <w:r>
              <w:rPr>
                <w:b/>
                <w:bCs/>
                <w:color w:val="000000"/>
                <w:sz w:val="22"/>
              </w:rPr>
              <w:t>/сут.</w:t>
            </w:r>
          </w:p>
        </w:tc>
        <w:tc>
          <w:tcPr>
            <w:tcW w:w="1984"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м</w:t>
            </w:r>
            <w:r>
              <w:rPr>
                <w:b/>
                <w:bCs/>
                <w:color w:val="000000"/>
                <w:sz w:val="22"/>
                <w:vertAlign w:val="superscript"/>
              </w:rPr>
              <w:t>3</w:t>
            </w:r>
            <w:r>
              <w:rPr>
                <w:b/>
                <w:bCs/>
                <w:color w:val="000000"/>
                <w:sz w:val="22"/>
              </w:rPr>
              <w:t>/сут.</w:t>
            </w:r>
          </w:p>
        </w:tc>
        <w:tc>
          <w:tcPr>
            <w:tcW w:w="2127"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м</w:t>
            </w:r>
            <w:r>
              <w:rPr>
                <w:b/>
                <w:bCs/>
                <w:color w:val="000000"/>
                <w:sz w:val="22"/>
                <w:vertAlign w:val="superscript"/>
              </w:rPr>
              <w:t>3</w:t>
            </w:r>
            <w:r>
              <w:rPr>
                <w:b/>
                <w:bCs/>
                <w:color w:val="000000"/>
                <w:sz w:val="22"/>
              </w:rPr>
              <w:t>/ч</w:t>
            </w:r>
          </w:p>
        </w:tc>
      </w:tr>
      <w:tr>
        <w:tblPrEx>
          <w:tblLayout w:type="fixed"/>
          <w:tblCellMar>
            <w:top w:w="0" w:type="dxa"/>
            <w:left w:w="108" w:type="dxa"/>
            <w:bottom w:w="0" w:type="dxa"/>
            <w:right w:w="108" w:type="dxa"/>
          </w:tblCellMar>
        </w:tblPrEx>
        <w:trPr>
          <w:trHeight w:val="340" w:hRule="atLeast"/>
        </w:trPr>
        <w:tc>
          <w:tcPr>
            <w:tcW w:w="340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г. Одинцово</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38274,6</w:t>
            </w:r>
          </w:p>
        </w:tc>
        <w:tc>
          <w:tcPr>
            <w:tcW w:w="1984"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45929,5</w:t>
            </w:r>
          </w:p>
        </w:tc>
        <w:tc>
          <w:tcPr>
            <w:tcW w:w="2127"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2526,1</w:t>
            </w:r>
          </w:p>
        </w:tc>
      </w:tr>
      <w:tr>
        <w:tblPrEx>
          <w:tblLayout w:type="fixed"/>
          <w:tblCellMar>
            <w:top w:w="0" w:type="dxa"/>
            <w:left w:w="108" w:type="dxa"/>
            <w:bottom w:w="0" w:type="dxa"/>
            <w:right w:w="108" w:type="dxa"/>
          </w:tblCellMar>
        </w:tblPrEx>
        <w:trPr>
          <w:trHeight w:val="340" w:hRule="atLeast"/>
        </w:trPr>
        <w:tc>
          <w:tcPr>
            <w:tcW w:w="340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с. Ромашково</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253,8</w:t>
            </w:r>
          </w:p>
        </w:tc>
        <w:tc>
          <w:tcPr>
            <w:tcW w:w="1984"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304,5</w:t>
            </w:r>
          </w:p>
        </w:tc>
        <w:tc>
          <w:tcPr>
            <w:tcW w:w="2127"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16,7</w:t>
            </w:r>
          </w:p>
        </w:tc>
      </w:tr>
      <w:tr>
        <w:tblPrEx>
          <w:tblLayout w:type="fixed"/>
          <w:tblCellMar>
            <w:top w:w="0" w:type="dxa"/>
            <w:left w:w="108" w:type="dxa"/>
            <w:bottom w:w="0" w:type="dxa"/>
            <w:right w:w="108" w:type="dxa"/>
          </w:tblCellMar>
        </w:tblPrEx>
        <w:trPr>
          <w:trHeight w:val="340" w:hRule="atLeast"/>
        </w:trPr>
        <w:tc>
          <w:tcPr>
            <w:tcW w:w="340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д. Переделки</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40,2</w:t>
            </w:r>
          </w:p>
        </w:tc>
        <w:tc>
          <w:tcPr>
            <w:tcW w:w="1984"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48,2</w:t>
            </w:r>
          </w:p>
        </w:tc>
        <w:tc>
          <w:tcPr>
            <w:tcW w:w="2127"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2,7</w:t>
            </w:r>
          </w:p>
        </w:tc>
      </w:tr>
      <w:tr>
        <w:tblPrEx>
          <w:tblLayout w:type="fixed"/>
          <w:tblCellMar>
            <w:top w:w="0" w:type="dxa"/>
            <w:left w:w="108" w:type="dxa"/>
            <w:bottom w:w="0" w:type="dxa"/>
            <w:right w:w="108" w:type="dxa"/>
          </w:tblCellMar>
        </w:tblPrEx>
        <w:trPr>
          <w:trHeight w:val="340" w:hRule="atLeast"/>
        </w:trPr>
        <w:tc>
          <w:tcPr>
            <w:tcW w:w="340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Немчиновка</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3879,0</w:t>
            </w:r>
          </w:p>
        </w:tc>
        <w:tc>
          <w:tcPr>
            <w:tcW w:w="1984"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4654,9</w:t>
            </w:r>
          </w:p>
        </w:tc>
        <w:tc>
          <w:tcPr>
            <w:tcW w:w="2127"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256,0</w:t>
            </w:r>
          </w:p>
        </w:tc>
      </w:tr>
      <w:tr>
        <w:tblPrEx>
          <w:tblLayout w:type="fixed"/>
          <w:tblCellMar>
            <w:top w:w="0" w:type="dxa"/>
            <w:left w:w="108" w:type="dxa"/>
            <w:bottom w:w="0" w:type="dxa"/>
            <w:right w:w="108" w:type="dxa"/>
          </w:tblCellMar>
        </w:tblPrEx>
        <w:trPr>
          <w:trHeight w:val="340" w:hRule="atLeast"/>
        </w:trPr>
        <w:tc>
          <w:tcPr>
            <w:tcW w:w="3402" w:type="dxa"/>
            <w:tcBorders>
              <w:top w:val="nil"/>
              <w:left w:val="single" w:color="auto" w:sz="4" w:space="0"/>
              <w:bottom w:val="nil"/>
              <w:right w:val="single" w:color="auto" w:sz="4" w:space="0"/>
            </w:tcBorders>
            <w:shd w:val="clear" w:color="auto" w:fill="auto"/>
            <w:vAlign w:val="center"/>
          </w:tcPr>
          <w:p>
            <w:pPr>
              <w:jc w:val="center"/>
              <w:rPr>
                <w:color w:val="000000"/>
                <w:sz w:val="22"/>
              </w:rPr>
            </w:pPr>
            <w:r>
              <w:rPr>
                <w:color w:val="000000"/>
                <w:sz w:val="22"/>
              </w:rPr>
              <w:t>п. д/о Озера</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69,4</w:t>
            </w:r>
          </w:p>
        </w:tc>
        <w:tc>
          <w:tcPr>
            <w:tcW w:w="1984"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83,3</w:t>
            </w:r>
          </w:p>
        </w:tc>
        <w:tc>
          <w:tcPr>
            <w:tcW w:w="2127" w:type="dxa"/>
            <w:tcBorders>
              <w:top w:val="nil"/>
              <w:left w:val="nil"/>
              <w:bottom w:val="single" w:color="auto" w:sz="4" w:space="0"/>
              <w:right w:val="single" w:color="auto" w:sz="4" w:space="0"/>
            </w:tcBorders>
            <w:shd w:val="clear" w:color="auto" w:fill="auto"/>
            <w:vAlign w:val="center"/>
          </w:tcPr>
          <w:p>
            <w:pPr>
              <w:jc w:val="center"/>
              <w:rPr>
                <w:color w:val="000000"/>
                <w:sz w:val="22"/>
              </w:rPr>
            </w:pPr>
            <w:r>
              <w:rPr>
                <w:color w:val="000000"/>
                <w:sz w:val="22"/>
              </w:rPr>
              <w:t>4,6</w:t>
            </w:r>
          </w:p>
        </w:tc>
      </w:tr>
      <w:tr>
        <w:tblPrEx>
          <w:tblLayout w:type="fixed"/>
          <w:tblCellMar>
            <w:top w:w="0" w:type="dxa"/>
            <w:left w:w="108" w:type="dxa"/>
            <w:bottom w:w="0" w:type="dxa"/>
            <w:right w:w="108" w:type="dxa"/>
          </w:tblCellMar>
        </w:tblPrEx>
        <w:trPr>
          <w:trHeight w:val="340" w:hRule="atLeast"/>
        </w:trPr>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Всего по ТУ Одинцово</w:t>
            </w:r>
          </w:p>
        </w:tc>
        <w:tc>
          <w:tcPr>
            <w:tcW w:w="1985" w:type="dxa"/>
            <w:tcBorders>
              <w:top w:val="nil"/>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42517,1</w:t>
            </w:r>
          </w:p>
        </w:tc>
        <w:tc>
          <w:tcPr>
            <w:tcW w:w="1984"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51020,5</w:t>
            </w:r>
          </w:p>
        </w:tc>
        <w:tc>
          <w:tcPr>
            <w:tcW w:w="2127" w:type="dxa"/>
            <w:tcBorders>
              <w:top w:val="nil"/>
              <w:left w:val="nil"/>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2806,1</w:t>
            </w:r>
          </w:p>
        </w:tc>
      </w:tr>
    </w:tbl>
    <w:p>
      <w:pPr>
        <w:spacing w:line="360" w:lineRule="auto"/>
        <w:ind w:firstLine="567"/>
        <w:jc w:val="both"/>
        <w:rPr>
          <w:sz w:val="28"/>
          <w:szCs w:val="28"/>
        </w:rPr>
      </w:pPr>
    </w:p>
    <w:p>
      <w:pPr>
        <w:spacing w:line="360" w:lineRule="auto"/>
        <w:ind w:firstLine="567"/>
        <w:jc w:val="both"/>
        <w:rPr>
          <w:sz w:val="28"/>
          <w:szCs w:val="28"/>
        </w:rPr>
      </w:pPr>
      <w:r>
        <w:rPr>
          <w:sz w:val="28"/>
          <w:szCs w:val="28"/>
        </w:rPr>
        <w:t>Для уменьшения расхода электроэнергии за счет сокращения величины избыточных напоров применяют следующие способы: регулирование числа оборотов насоса, обточку рабочих колес насосов.</w:t>
      </w:r>
    </w:p>
    <w:p>
      <w:pPr>
        <w:spacing w:line="360" w:lineRule="auto"/>
        <w:ind w:firstLine="567"/>
        <w:jc w:val="both"/>
        <w:rPr>
          <w:sz w:val="28"/>
          <w:szCs w:val="28"/>
        </w:rPr>
      </w:pPr>
      <w:r>
        <w:rPr>
          <w:sz w:val="28"/>
          <w:szCs w:val="28"/>
        </w:rPr>
        <w:t>В целом в ТУ Одинцово по всем технологическим зонам используются преимущественно современные насосы. В связи с этим можно дать удовлетворительную оценку энергетической эффективности насосных станций второго подъема и повысительным насосным станциям.</w:t>
      </w:r>
    </w:p>
    <w:p>
      <w:pPr>
        <w:spacing w:line="360" w:lineRule="auto"/>
        <w:ind w:firstLine="567"/>
        <w:jc w:val="both"/>
        <w:rPr>
          <w:sz w:val="28"/>
          <w:szCs w:val="28"/>
        </w:rPr>
      </w:pPr>
      <w:r>
        <w:rPr>
          <w:sz w:val="28"/>
          <w:szCs w:val="28"/>
        </w:rPr>
        <w:t>Объем потерь питьевой воды в системах централизованного водоснабжения «ТУ Одинцово», за 2017 год составил 2020,829 тыс. м3. Доля потерь питьевой воды в системах централизованного водоснабжения ТУ Одинцово за 2017 год равна 11,29% от воды, поданной в водопроводные сети.</w:t>
      </w:r>
    </w:p>
    <w:p>
      <w:pPr>
        <w:spacing w:line="360" w:lineRule="auto"/>
        <w:ind w:firstLine="567"/>
        <w:jc w:val="both"/>
        <w:rPr>
          <w:sz w:val="28"/>
          <w:szCs w:val="28"/>
        </w:rPr>
      </w:pPr>
      <w:r>
        <w:rPr>
          <w:sz w:val="28"/>
          <w:szCs w:val="28"/>
        </w:rPr>
        <w:t>Основная доля потерь воды в сетях в ТУ Одинцово приходится на утечки. Причиной потерь воды при транспорте является ветхость трубопроводов водоснабжения. На многих системах водоснабжения истекает срок эксплуатации трубопроводов, выполненных из чугуна и стали, а также запорно-регулирующей арматуры. С целью исключения аварийности в сетях и образованию утечек, необходима своевременная реконструкция и модернизация сетей и запорно-регулирующей арматуры. Другой причиной является повышенный напор (более 60 м) в некоторых системах водоснабжения в связи с большой этажностью зданий потребителей (такой режим работы сети является необходимостью)</w:t>
      </w:r>
    </w:p>
    <w:p>
      <w:pPr>
        <w:spacing w:line="360" w:lineRule="auto"/>
        <w:ind w:firstLine="567"/>
        <w:jc w:val="both"/>
        <w:rPr>
          <w:sz w:val="28"/>
          <w:szCs w:val="28"/>
        </w:rPr>
      </w:pPr>
      <w:r>
        <w:rPr>
          <w:sz w:val="28"/>
          <w:szCs w:val="28"/>
        </w:rPr>
        <w:t xml:space="preserve">В системе централизованного водоснабжения «ТУ Одинцово» организована система коммерческого учета воды. Приборы учета установлены как на источниках водоснабжения, так и на многоквартирных и жилых домах, на абонентских вводах в здания юридических лиц. </w:t>
      </w:r>
    </w:p>
    <w:p>
      <w:pPr>
        <w:spacing w:line="360" w:lineRule="auto"/>
        <w:ind w:firstLine="567"/>
        <w:jc w:val="both"/>
        <w:rPr>
          <w:sz w:val="28"/>
          <w:szCs w:val="28"/>
        </w:rPr>
      </w:pPr>
      <w:r>
        <w:rPr>
          <w:sz w:val="28"/>
          <w:szCs w:val="28"/>
        </w:rPr>
        <w:t>Население «ТУ Одинцово» при расчетах за потребленную воду использует приборы учета, установленные непосредственно в квартирах.</w:t>
      </w:r>
    </w:p>
    <w:p>
      <w:pPr>
        <w:spacing w:line="360" w:lineRule="auto"/>
        <w:ind w:firstLine="567"/>
        <w:jc w:val="both"/>
        <w:rPr>
          <w:sz w:val="28"/>
          <w:szCs w:val="28"/>
        </w:rPr>
      </w:pPr>
      <w:r>
        <w:rPr>
          <w:sz w:val="28"/>
          <w:szCs w:val="28"/>
        </w:rPr>
        <w:t>Плата за подключение (технологическое присоединение) объектов заявителей к централизованной системе холодного водоснабжения в ТУ Одинцово – не установлена.</w:t>
      </w:r>
    </w:p>
    <w:p>
      <w:pPr>
        <w:spacing w:line="360" w:lineRule="auto"/>
        <w:ind w:firstLine="567"/>
        <w:jc w:val="both"/>
        <w:rPr>
          <w:sz w:val="28"/>
          <w:szCs w:val="28"/>
        </w:rPr>
      </w:pPr>
      <w:r>
        <w:rPr>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pPr>
        <w:spacing w:line="360" w:lineRule="auto"/>
        <w:ind w:firstLine="567"/>
        <w:jc w:val="both"/>
        <w:rPr>
          <w:sz w:val="28"/>
          <w:szCs w:val="28"/>
        </w:rPr>
      </w:pPr>
      <w:r>
        <w:rPr>
          <w:sz w:val="28"/>
          <w:szCs w:val="28"/>
        </w:rPr>
        <w:t>Основными техническими и технологическими проблемами централизованной системы водоснабжения «ТУ Одинцово» являются:</w:t>
      </w:r>
    </w:p>
    <w:p>
      <w:pPr>
        <w:pStyle w:val="154"/>
        <w:numPr>
          <w:ilvl w:val="0"/>
          <w:numId w:val="44"/>
        </w:numPr>
        <w:spacing w:line="360" w:lineRule="auto"/>
        <w:jc w:val="both"/>
        <w:rPr>
          <w:sz w:val="28"/>
          <w:szCs w:val="28"/>
        </w:rPr>
      </w:pPr>
      <w:r>
        <w:rPr>
          <w:sz w:val="28"/>
          <w:szCs w:val="28"/>
        </w:rPr>
        <w:t>существующие водопроводные сети и сооружения водоснабжения требуют реконструкции в связи с длительным сроком эксплуатации и высокой степенью изношенности;</w:t>
      </w:r>
    </w:p>
    <w:p>
      <w:pPr>
        <w:pStyle w:val="154"/>
        <w:numPr>
          <w:ilvl w:val="0"/>
          <w:numId w:val="44"/>
        </w:numPr>
        <w:spacing w:line="360" w:lineRule="auto"/>
        <w:jc w:val="both"/>
        <w:rPr>
          <w:sz w:val="28"/>
          <w:szCs w:val="28"/>
        </w:rPr>
      </w:pPr>
      <w:r>
        <w:rPr>
          <w:sz w:val="28"/>
          <w:szCs w:val="28"/>
        </w:rPr>
        <w:t>модернизация или реконструкция объектов водоснабжения с внедрением современных технологий водоподготовки;</w:t>
      </w:r>
    </w:p>
    <w:p>
      <w:pPr>
        <w:pStyle w:val="154"/>
        <w:numPr>
          <w:ilvl w:val="0"/>
          <w:numId w:val="44"/>
        </w:numPr>
        <w:spacing w:line="360" w:lineRule="auto"/>
        <w:jc w:val="both"/>
        <w:rPr>
          <w:sz w:val="28"/>
          <w:szCs w:val="28"/>
        </w:rPr>
      </w:pPr>
      <w:r>
        <w:rPr>
          <w:sz w:val="28"/>
          <w:szCs w:val="28"/>
        </w:rPr>
        <w:t>вторичное загрязнение воды при ее транспортировке по сетям водоснабжения;</w:t>
      </w:r>
    </w:p>
    <w:p>
      <w:pPr>
        <w:pStyle w:val="154"/>
        <w:numPr>
          <w:ilvl w:val="0"/>
          <w:numId w:val="44"/>
        </w:numPr>
        <w:spacing w:line="360" w:lineRule="auto"/>
        <w:jc w:val="both"/>
        <w:rPr>
          <w:sz w:val="28"/>
          <w:szCs w:val="28"/>
        </w:rPr>
      </w:pPr>
      <w:r>
        <w:rPr>
          <w:sz w:val="28"/>
          <w:szCs w:val="28"/>
        </w:rPr>
        <w:t>увеличение пропускной способности существующих сетей с целью подключения объектов капитального строительства;</w:t>
      </w:r>
    </w:p>
    <w:p>
      <w:pPr>
        <w:pStyle w:val="154"/>
        <w:numPr>
          <w:ilvl w:val="0"/>
          <w:numId w:val="44"/>
        </w:numPr>
        <w:spacing w:line="360" w:lineRule="auto"/>
        <w:jc w:val="both"/>
        <w:rPr>
          <w:sz w:val="28"/>
          <w:szCs w:val="28"/>
        </w:rPr>
      </w:pPr>
      <w:r>
        <w:rPr>
          <w:sz w:val="28"/>
          <w:szCs w:val="28"/>
        </w:rPr>
        <w:t>строительство новых сетей водоснабжения в целях подключения объектов капитального строительства.</w:t>
      </w:r>
    </w:p>
    <w:p>
      <w:pPr>
        <w:spacing w:before="240" w:line="360" w:lineRule="auto"/>
        <w:ind w:firstLine="567"/>
        <w:rPr>
          <w:color w:val="000000"/>
          <w:spacing w:val="-1"/>
          <w:sz w:val="28"/>
          <w:szCs w:val="28"/>
        </w:rPr>
      </w:pPr>
      <w:r>
        <w:rPr>
          <w:rFonts w:eastAsia="Calibri"/>
          <w:sz w:val="28"/>
          <w:szCs w:val="28"/>
          <w:lang w:eastAsia="en-US"/>
        </w:rPr>
        <w:t xml:space="preserve"> </w:t>
      </w:r>
    </w:p>
    <w:p>
      <w:pPr>
        <w:spacing w:line="360" w:lineRule="auto"/>
        <w:ind w:firstLine="709"/>
        <w:jc w:val="both"/>
        <w:rPr>
          <w:color w:val="000000"/>
          <w:spacing w:val="-1"/>
          <w:sz w:val="28"/>
          <w:szCs w:val="28"/>
        </w:rPr>
        <w:sectPr>
          <w:pgSz w:w="11907" w:h="16839"/>
          <w:pgMar w:top="1134" w:right="1133" w:bottom="1276" w:left="1418" w:header="567" w:footer="708" w:gutter="0"/>
          <w:cols w:space="720" w:num="1"/>
          <w:formProt w:val="0"/>
          <w:titlePg/>
          <w:docGrid w:linePitch="360" w:charSpace="-6145"/>
        </w:sectPr>
      </w:pPr>
    </w:p>
    <w:p>
      <w:pPr>
        <w:pStyle w:val="3"/>
        <w:numPr>
          <w:ilvl w:val="1"/>
          <w:numId w:val="30"/>
        </w:numPr>
        <w:pBdr>
          <w:bottom w:val="single" w:color="auto" w:sz="4" w:space="1"/>
        </w:pBdr>
        <w:tabs>
          <w:tab w:val="left" w:pos="1276"/>
        </w:tabs>
        <w:spacing w:before="0" w:after="200"/>
        <w:rPr>
          <w:rFonts w:ascii="Times New Roman" w:hAnsi="Times New Roman"/>
          <w:i w:val="0"/>
          <w:color w:val="000000"/>
          <w:sz w:val="30"/>
          <w:szCs w:val="30"/>
        </w:rPr>
      </w:pPr>
      <w:bookmarkStart w:id="16" w:name="_Toc21015034"/>
      <w:r>
        <w:rPr>
          <w:rFonts w:ascii="Times New Roman" w:hAnsi="Times New Roman"/>
          <w:i w:val="0"/>
          <w:color w:val="000000"/>
          <w:sz w:val="30"/>
          <w:szCs w:val="30"/>
        </w:rPr>
        <w:t>Краткий анализ существующего состояния системы водоотведения</w:t>
      </w:r>
      <w:bookmarkEnd w:id="16"/>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17" w:name="_Toc21015035"/>
      <w:r>
        <w:rPr>
          <w:rFonts w:ascii="Times New Roman" w:hAnsi="Times New Roman"/>
          <w:i w:val="0"/>
          <w:color w:val="000000"/>
          <w:sz w:val="30"/>
          <w:szCs w:val="30"/>
        </w:rPr>
        <w:t>Организационная структура</w:t>
      </w:r>
      <w:bookmarkEnd w:id="17"/>
    </w:p>
    <w:p>
      <w:pPr>
        <w:pStyle w:val="42"/>
        <w:kinsoku w:val="0"/>
        <w:overflowPunct w:val="0"/>
        <w:spacing w:before="240" w:line="360" w:lineRule="auto"/>
        <w:ind w:left="0" w:firstLine="567"/>
        <w:rPr>
          <w:b w:val="0"/>
          <w:bCs w:val="0"/>
          <w:color w:val="000000"/>
          <w:sz w:val="28"/>
          <w:szCs w:val="28"/>
        </w:rPr>
      </w:pPr>
      <w:r>
        <w:rPr>
          <w:b w:val="0"/>
          <w:bCs w:val="0"/>
          <w:color w:val="000000"/>
          <w:sz w:val="28"/>
          <w:szCs w:val="28"/>
        </w:rPr>
        <w:t xml:space="preserve"> </w:t>
      </w:r>
    </w:p>
    <w:p>
      <w:pPr>
        <w:spacing w:line="360" w:lineRule="auto"/>
        <w:ind w:firstLine="567"/>
        <w:jc w:val="both"/>
        <w:rPr>
          <w:color w:val="000000"/>
          <w:sz w:val="28"/>
          <w:szCs w:val="28"/>
        </w:rPr>
      </w:pPr>
      <w:r>
        <w:rPr>
          <w:color w:val="000000"/>
          <w:sz w:val="28"/>
          <w:szCs w:val="28"/>
        </w:rPr>
        <w:t>Численность населения, получающего коммунальную услугу "Водоотведение" «ТУ Одинцово», соответствует 136 313 человек или 93 % от числа проживающего населения в «ТУ Одинцово».</w:t>
      </w:r>
    </w:p>
    <w:p>
      <w:pPr>
        <w:spacing w:line="360" w:lineRule="auto"/>
        <w:ind w:firstLine="567"/>
        <w:jc w:val="both"/>
        <w:rPr>
          <w:color w:val="000000"/>
          <w:sz w:val="28"/>
          <w:szCs w:val="28"/>
        </w:rPr>
      </w:pPr>
      <w:r>
        <w:rPr>
          <w:color w:val="000000"/>
          <w:sz w:val="28"/>
          <w:szCs w:val="28"/>
        </w:rPr>
        <w:t>Сбор и отведение сточных вод на территории ГП Одинцово осуществляют ОАО «Одинцовский водоканал».</w:t>
      </w:r>
    </w:p>
    <w:p>
      <w:pPr>
        <w:spacing w:line="360" w:lineRule="auto"/>
        <w:ind w:firstLine="567"/>
        <w:jc w:val="both"/>
        <w:rPr>
          <w:color w:val="000000"/>
          <w:sz w:val="28"/>
          <w:szCs w:val="28"/>
        </w:rPr>
      </w:pPr>
      <w:r>
        <w:rPr>
          <w:color w:val="000000"/>
          <w:sz w:val="28"/>
          <w:szCs w:val="28"/>
        </w:rPr>
        <w:t>Перечень организаций, владеющих на праве собственности или другом законном основании объектами централизованной системы водоотведения, представлены ниже.</w:t>
      </w:r>
    </w:p>
    <w:p>
      <w:pPr>
        <w:spacing w:line="360" w:lineRule="auto"/>
        <w:ind w:firstLine="567"/>
        <w:jc w:val="both"/>
        <w:rPr>
          <w:color w:val="000000"/>
          <w:sz w:val="28"/>
          <w:szCs w:val="28"/>
        </w:rPr>
      </w:pPr>
      <w:r>
        <w:rPr>
          <w:color w:val="000000"/>
          <w:sz w:val="28"/>
          <w:szCs w:val="28"/>
        </w:rPr>
        <w:t>Технологические зоны:</w:t>
      </w:r>
    </w:p>
    <w:p>
      <w:pPr>
        <w:pStyle w:val="154"/>
        <w:numPr>
          <w:ilvl w:val="1"/>
          <w:numId w:val="45"/>
        </w:numPr>
        <w:spacing w:line="360" w:lineRule="auto"/>
        <w:ind w:left="567" w:firstLine="0"/>
        <w:jc w:val="both"/>
        <w:rPr>
          <w:color w:val="000000"/>
          <w:sz w:val="28"/>
          <w:szCs w:val="28"/>
        </w:rPr>
      </w:pPr>
      <w:r>
        <w:rPr>
          <w:color w:val="000000"/>
          <w:sz w:val="28"/>
          <w:szCs w:val="28"/>
        </w:rPr>
        <w:t>централизованная система водоотведения «ТУ Одинцово» ОАО «Одинцовский Водоканал» – зона обслуживания КОС;</w:t>
      </w:r>
    </w:p>
    <w:p>
      <w:pPr>
        <w:pStyle w:val="154"/>
        <w:numPr>
          <w:ilvl w:val="1"/>
          <w:numId w:val="45"/>
        </w:numPr>
        <w:spacing w:line="360" w:lineRule="auto"/>
        <w:ind w:left="567" w:firstLine="0"/>
        <w:jc w:val="both"/>
        <w:rPr>
          <w:color w:val="000000"/>
          <w:sz w:val="28"/>
          <w:szCs w:val="28"/>
        </w:rPr>
      </w:pPr>
      <w:r>
        <w:rPr>
          <w:color w:val="000000"/>
          <w:sz w:val="28"/>
          <w:szCs w:val="28"/>
        </w:rPr>
        <w:t>централизованная система водоотведения ГП Одинцово ФГБУ «ЦЖКУ» Минобороны России – зона обслуживания КОС.</w:t>
      </w:r>
    </w:p>
    <w:p>
      <w:pPr>
        <w:spacing w:line="360" w:lineRule="auto"/>
        <w:ind w:firstLine="567"/>
        <w:jc w:val="both"/>
        <w:rPr>
          <w:color w:val="000000"/>
          <w:sz w:val="28"/>
          <w:szCs w:val="28"/>
        </w:rPr>
      </w:pPr>
      <w:r>
        <w:rPr>
          <w:color w:val="000000"/>
          <w:sz w:val="28"/>
          <w:szCs w:val="28"/>
        </w:rPr>
        <w:t>Эксплуатационные зоны:</w:t>
      </w:r>
    </w:p>
    <w:p>
      <w:pPr>
        <w:pStyle w:val="154"/>
        <w:numPr>
          <w:ilvl w:val="1"/>
          <w:numId w:val="46"/>
        </w:numPr>
        <w:spacing w:line="360" w:lineRule="auto"/>
        <w:ind w:left="567" w:firstLine="0"/>
        <w:jc w:val="both"/>
        <w:rPr>
          <w:color w:val="000000"/>
          <w:sz w:val="28"/>
          <w:szCs w:val="28"/>
        </w:rPr>
      </w:pPr>
      <w:r>
        <w:rPr>
          <w:color w:val="000000"/>
          <w:sz w:val="28"/>
          <w:szCs w:val="28"/>
        </w:rPr>
        <w:t>ОАО «Одинцовский Водоканал»;</w:t>
      </w:r>
    </w:p>
    <w:p>
      <w:pPr>
        <w:pStyle w:val="154"/>
        <w:numPr>
          <w:ilvl w:val="1"/>
          <w:numId w:val="46"/>
        </w:numPr>
        <w:spacing w:line="360" w:lineRule="auto"/>
        <w:ind w:left="567" w:firstLine="0"/>
        <w:jc w:val="both"/>
        <w:rPr>
          <w:color w:val="000000"/>
          <w:sz w:val="28"/>
          <w:szCs w:val="28"/>
        </w:rPr>
      </w:pPr>
      <w:r>
        <w:rPr>
          <w:color w:val="000000"/>
          <w:sz w:val="28"/>
          <w:szCs w:val="28"/>
        </w:rPr>
        <w:t>ФГБУ «ЦЖКУ» Минобороны России.</w:t>
      </w:r>
    </w:p>
    <w:p>
      <w:pPr>
        <w:spacing w:line="360" w:lineRule="auto"/>
        <w:ind w:firstLine="567"/>
        <w:jc w:val="both"/>
        <w:rPr>
          <w:color w:val="000000"/>
          <w:sz w:val="28"/>
          <w:szCs w:val="28"/>
        </w:rPr>
      </w:pPr>
      <w:r>
        <w:rPr>
          <w:color w:val="000000"/>
          <w:sz w:val="28"/>
          <w:szCs w:val="28"/>
        </w:rPr>
        <w:t>В «ТУ Одинцово» централизованная система водоотведения существует в г. Одинцово, в тех населенных пунктах, где отсутствует централизованная система водоотведения, используются выгребные ямы и септики.</w:t>
      </w:r>
    </w:p>
    <w:p>
      <w:pPr>
        <w:spacing w:line="360" w:lineRule="auto"/>
        <w:ind w:firstLine="567"/>
        <w:jc w:val="both"/>
        <w:rPr>
          <w:color w:val="000000"/>
          <w:sz w:val="28"/>
          <w:szCs w:val="28"/>
        </w:rPr>
      </w:pPr>
      <w:r>
        <w:rPr>
          <w:color w:val="000000"/>
          <w:sz w:val="28"/>
          <w:szCs w:val="28"/>
        </w:rPr>
        <w:t>Канализование ТУ Одинцово осуществляется самотеком на Ново-Солнцевскую насосную станцию (КНС) и далее по канализационной системе г. Москва на станцию аэрации в Курьяново. Канализационные очистные сооружения (КОС) в самом «ТУ Одинцово» отсутствуют.</w:t>
      </w:r>
    </w:p>
    <w:p>
      <w:pPr>
        <w:spacing w:before="120" w:line="360" w:lineRule="auto"/>
        <w:ind w:firstLine="567"/>
        <w:jc w:val="both"/>
        <w:rPr>
          <w:b/>
          <w:sz w:val="28"/>
          <w:szCs w:val="20"/>
        </w:rPr>
      </w:pPr>
      <w:r>
        <w:rPr>
          <w:b/>
          <w:sz w:val="28"/>
          <w:szCs w:val="20"/>
        </w:rPr>
        <w:t>ОАО «Одинцовский водоканал»</w:t>
      </w:r>
    </w:p>
    <w:p>
      <w:pPr>
        <w:spacing w:before="120" w:line="360" w:lineRule="auto"/>
        <w:ind w:firstLine="567"/>
        <w:jc w:val="both"/>
        <w:rPr>
          <w:sz w:val="28"/>
          <w:szCs w:val="20"/>
        </w:rPr>
      </w:pPr>
      <w:r>
        <w:rPr>
          <w:sz w:val="28"/>
          <w:szCs w:val="20"/>
        </w:rPr>
        <w:t>ОАО «Одинцовский водоканал» обслуживает сети и объекты водоотведения в следующих населенных пунктах «ТУ Одинцово»: г. Одинцово.</w:t>
      </w:r>
    </w:p>
    <w:p>
      <w:pPr>
        <w:spacing w:before="120" w:line="360" w:lineRule="auto"/>
        <w:ind w:firstLine="567"/>
        <w:jc w:val="both"/>
        <w:rPr>
          <w:sz w:val="28"/>
          <w:szCs w:val="20"/>
        </w:rPr>
      </w:pPr>
      <w:r>
        <w:rPr>
          <w:sz w:val="28"/>
          <w:szCs w:val="20"/>
        </w:rPr>
        <w:t xml:space="preserve">В городе Одинцово общая протяженность канализационных сетей на 2018 год составляет 107 км. Сточные воды от потребителей г. Одинцово самотеком поступают на две канализационные насосные станции (КНС): КНС «Одинцово» по адресу Московская область, г. Одинцово, Садовая 26а и КНС «Отрадное» по адресу Московская область, г. Одинцово, западная промышленная зона. Оттуда сточные воды перекачиваются в Москву на очистку. </w:t>
      </w:r>
    </w:p>
    <w:p>
      <w:pPr>
        <w:spacing w:before="120" w:line="360" w:lineRule="auto"/>
        <w:ind w:firstLine="567"/>
        <w:jc w:val="both"/>
        <w:rPr>
          <w:sz w:val="28"/>
          <w:szCs w:val="20"/>
        </w:rPr>
      </w:pPr>
      <w:r>
        <w:rPr>
          <w:sz w:val="28"/>
          <w:szCs w:val="20"/>
        </w:rPr>
        <w:t>На территории ТУ Одинцово в обслуживании ОАО «Одинцовский водоканал» находятся 4 КНС.</w:t>
      </w:r>
    </w:p>
    <w:p>
      <w:pPr>
        <w:spacing w:before="120" w:line="360" w:lineRule="auto"/>
        <w:ind w:firstLine="567"/>
        <w:jc w:val="both"/>
        <w:rPr>
          <w:sz w:val="28"/>
          <w:szCs w:val="20"/>
        </w:rPr>
      </w:pPr>
      <w:r>
        <w:rPr>
          <w:sz w:val="28"/>
          <w:szCs w:val="20"/>
        </w:rPr>
        <w:t xml:space="preserve">АО «Мосводоканал» принимает сточные воды ОАО «Одинцовский водоканал» согласно договору №75066 от 13 марта 2009 года. </w:t>
      </w:r>
    </w:p>
    <w:p>
      <w:pPr>
        <w:spacing w:before="120" w:line="360" w:lineRule="auto"/>
        <w:ind w:firstLine="567"/>
        <w:jc w:val="both"/>
        <w:rPr>
          <w:b/>
          <w:sz w:val="28"/>
          <w:szCs w:val="20"/>
        </w:rPr>
      </w:pPr>
      <w:r>
        <w:rPr>
          <w:b/>
          <w:sz w:val="28"/>
          <w:szCs w:val="20"/>
        </w:rPr>
        <w:t>ФГБУ «ЦЖКУ» Минобороны России</w:t>
      </w:r>
    </w:p>
    <w:p>
      <w:pPr>
        <w:spacing w:before="120" w:line="360" w:lineRule="auto"/>
        <w:ind w:firstLine="567"/>
        <w:jc w:val="both"/>
        <w:rPr>
          <w:sz w:val="28"/>
          <w:szCs w:val="20"/>
        </w:rPr>
      </w:pPr>
      <w:r>
        <w:rPr>
          <w:sz w:val="28"/>
          <w:szCs w:val="20"/>
        </w:rPr>
        <w:t>ФГБУ «ЦЖКУ» Минобороны России обслуживает сети и объекты водоотведения в населенном пункте «ТУ Одинцово»: мкр. Баковка.</w:t>
      </w:r>
    </w:p>
    <w:p>
      <w:pPr>
        <w:spacing w:before="120" w:line="360" w:lineRule="auto"/>
        <w:ind w:firstLine="567"/>
        <w:jc w:val="both"/>
        <w:rPr>
          <w:sz w:val="28"/>
          <w:szCs w:val="20"/>
        </w:rPr>
      </w:pPr>
      <w:r>
        <w:rPr>
          <w:sz w:val="28"/>
          <w:szCs w:val="20"/>
        </w:rPr>
        <w:t>На территории ТУ Одинцово в обслуживании ФГБУ «ЦЖКУ» Минобороны России находится одна КНС.</w:t>
      </w:r>
    </w:p>
    <w:p>
      <w:pPr>
        <w:spacing w:before="120" w:line="360" w:lineRule="auto"/>
        <w:ind w:firstLine="567"/>
        <w:jc w:val="both"/>
        <w:rPr>
          <w:sz w:val="28"/>
          <w:szCs w:val="20"/>
        </w:rPr>
      </w:pPr>
      <w:r>
        <w:rPr>
          <w:sz w:val="28"/>
          <w:szCs w:val="20"/>
        </w:rPr>
        <w:t xml:space="preserve">По данным ОАО «Одинцовский водоканал» к не канализованным территориям относятся все поселения, за исключением г. Одинцово, п. Немчиновка, п. Трехгорка и ДО «Озера». </w:t>
      </w:r>
    </w:p>
    <w:p>
      <w:pPr>
        <w:spacing w:line="360" w:lineRule="auto"/>
        <w:jc w:val="both"/>
        <w:rPr>
          <w:b/>
          <w:spacing w:val="-1"/>
          <w:sz w:val="28"/>
          <w:szCs w:val="28"/>
        </w:rPr>
      </w:pPr>
      <w:r>
        <w:rPr>
          <w:sz w:val="28"/>
          <w:szCs w:val="20"/>
        </w:rPr>
        <w:t>Во всех населенных пунктах пользуются выгребными ямами и септиками: деревня Вырубово, поселок а/я 001, деревня Глазынино, деревня Губкино, поселок ДО МПС «Березка», деревня Измалково, деревня Лохино, поселок Лохинский 2-ой, деревня Мамоново, поселок Москворецкого леспаркхоза, хутор Никонорово, хутор Одинцовский, село Ромашково, село Акулово, поселок Красный Октябрь, поселок Переделки.</w:t>
      </w:r>
    </w:p>
    <w:p>
      <w:pPr>
        <w:pStyle w:val="42"/>
        <w:kinsoku w:val="0"/>
        <w:overflowPunct w:val="0"/>
        <w:spacing w:before="240" w:line="360" w:lineRule="auto"/>
        <w:ind w:left="0" w:firstLine="567"/>
        <w:rPr>
          <w:b w:val="0"/>
          <w:spacing w:val="-1"/>
          <w:sz w:val="28"/>
          <w:szCs w:val="28"/>
        </w:rPr>
      </w:pP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r>
        <w:rPr>
          <w:rFonts w:eastAsia="Calibri"/>
        </w:rPr>
        <w:t xml:space="preserve"> </w:t>
      </w:r>
      <w:bookmarkStart w:id="18" w:name="_Toc21015036"/>
      <w:r>
        <w:rPr>
          <w:rFonts w:ascii="Times New Roman" w:hAnsi="Times New Roman"/>
          <w:i w:val="0"/>
          <w:color w:val="000000"/>
          <w:sz w:val="30"/>
          <w:szCs w:val="30"/>
        </w:rPr>
        <w:t>Анализ технического состояния</w:t>
      </w:r>
      <w:bookmarkEnd w:id="18"/>
    </w:p>
    <w:p>
      <w:pPr>
        <w:spacing w:line="360" w:lineRule="auto"/>
        <w:ind w:firstLine="567"/>
        <w:jc w:val="both"/>
        <w:rPr>
          <w:color w:val="000000"/>
          <w:sz w:val="28"/>
          <w:szCs w:val="28"/>
        </w:rPr>
      </w:pPr>
      <w:r>
        <w:rPr>
          <w:b/>
          <w:bCs/>
          <w:color w:val="000000"/>
          <w:sz w:val="28"/>
          <w:szCs w:val="28"/>
        </w:rPr>
        <w:t xml:space="preserve"> </w:t>
      </w:r>
      <w:r>
        <w:rPr>
          <w:color w:val="000000"/>
          <w:sz w:val="28"/>
          <w:szCs w:val="28"/>
        </w:rPr>
        <w:t>Система централизованного водоотведения на территории ТУ Одинцово состоит из трубопроводов самотечной и напорной канализации и колодцев.</w:t>
      </w:r>
    </w:p>
    <w:p>
      <w:pPr>
        <w:spacing w:line="360" w:lineRule="auto"/>
        <w:ind w:firstLine="567"/>
        <w:jc w:val="both"/>
        <w:rPr>
          <w:color w:val="000000"/>
          <w:sz w:val="28"/>
          <w:szCs w:val="28"/>
        </w:rPr>
      </w:pPr>
      <w:r>
        <w:rPr>
          <w:color w:val="000000"/>
          <w:sz w:val="28"/>
          <w:szCs w:val="28"/>
        </w:rPr>
        <w:t>Основными элементами системы водоотведения являются самотечные канализационные сети с трубопроводами и колодцами, транспортирующие стоки от зданий до канализационных насосных станций, канализационные насосные станции, напорная канализационная сеть от канализационных насосных станций до очистных сооружений.</w:t>
      </w:r>
    </w:p>
    <w:p>
      <w:pPr>
        <w:spacing w:line="360" w:lineRule="auto"/>
        <w:ind w:firstLine="567"/>
        <w:jc w:val="both"/>
        <w:rPr>
          <w:color w:val="000000"/>
          <w:sz w:val="28"/>
          <w:szCs w:val="28"/>
        </w:rPr>
      </w:pPr>
      <w:r>
        <w:rPr>
          <w:color w:val="000000"/>
          <w:sz w:val="28"/>
          <w:szCs w:val="28"/>
        </w:rPr>
        <w:t xml:space="preserve">Внутренняя канализация принимает сточные вод в местах их образования и отводит их за пределы здания в наружную канализационную сеть. Далее канализационные стоки по самотечной канализации через систему трубопроводов и колодцев за счет уклона сети поступают в приемные отделения канализационных насосных станций. От канализационных насосных станций стоки по напорной линии под давлением передаются в очистные сооружения. </w:t>
      </w:r>
    </w:p>
    <w:p>
      <w:pPr>
        <w:spacing w:line="360" w:lineRule="auto"/>
        <w:ind w:firstLine="567"/>
        <w:jc w:val="both"/>
        <w:rPr>
          <w:color w:val="000000"/>
          <w:sz w:val="28"/>
          <w:szCs w:val="28"/>
        </w:rPr>
      </w:pPr>
      <w:r>
        <w:rPr>
          <w:color w:val="000000"/>
          <w:sz w:val="28"/>
          <w:szCs w:val="28"/>
        </w:rPr>
        <w:t xml:space="preserve">Система централизованного водоотведения ГП Одинцово, включает в себя:  </w:t>
      </w:r>
    </w:p>
    <w:p>
      <w:pPr>
        <w:spacing w:line="360" w:lineRule="auto"/>
        <w:ind w:firstLine="567"/>
        <w:jc w:val="both"/>
        <w:rPr>
          <w:color w:val="000000"/>
          <w:sz w:val="28"/>
          <w:szCs w:val="28"/>
        </w:rPr>
      </w:pPr>
      <w:r>
        <w:rPr>
          <w:color w:val="000000"/>
          <w:sz w:val="28"/>
          <w:szCs w:val="28"/>
        </w:rPr>
        <w:t>Канализационные очистные сооружения – 0 ед.;</w:t>
      </w:r>
    </w:p>
    <w:p>
      <w:pPr>
        <w:spacing w:line="360" w:lineRule="auto"/>
        <w:ind w:firstLine="567"/>
        <w:jc w:val="both"/>
        <w:rPr>
          <w:color w:val="000000"/>
          <w:sz w:val="28"/>
          <w:szCs w:val="28"/>
        </w:rPr>
      </w:pPr>
      <w:r>
        <w:rPr>
          <w:color w:val="000000"/>
          <w:sz w:val="28"/>
          <w:szCs w:val="28"/>
        </w:rPr>
        <w:t>Сети канализации - 107 км (в том числе и напорные сети);</w:t>
      </w:r>
    </w:p>
    <w:p>
      <w:pPr>
        <w:spacing w:line="360" w:lineRule="auto"/>
        <w:ind w:firstLine="567"/>
        <w:jc w:val="both"/>
        <w:rPr>
          <w:color w:val="000000"/>
          <w:sz w:val="28"/>
          <w:szCs w:val="28"/>
        </w:rPr>
      </w:pPr>
      <w:r>
        <w:rPr>
          <w:color w:val="000000"/>
          <w:sz w:val="28"/>
          <w:szCs w:val="28"/>
        </w:rPr>
        <w:t>Канализационные насосные станции – 5 ед.;</w:t>
      </w:r>
    </w:p>
    <w:p>
      <w:pPr>
        <w:spacing w:line="360" w:lineRule="auto"/>
        <w:ind w:firstLine="567"/>
        <w:jc w:val="both"/>
        <w:rPr>
          <w:color w:val="000000"/>
          <w:sz w:val="28"/>
          <w:szCs w:val="28"/>
        </w:rPr>
      </w:pPr>
      <w:r>
        <w:rPr>
          <w:color w:val="000000"/>
          <w:sz w:val="28"/>
          <w:szCs w:val="28"/>
        </w:rPr>
        <w:t>Приборы учета принимаемых сточных вод не установлены на выпусках сточных вод с очистных канализационных сооружений. Объем принятых стоков определяется расчетным способом по показателям потребления холодной и горячей воды.</w:t>
      </w:r>
    </w:p>
    <w:p>
      <w:pPr>
        <w:spacing w:line="360" w:lineRule="auto"/>
        <w:ind w:firstLine="567"/>
        <w:jc w:val="both"/>
        <w:rPr>
          <w:b/>
          <w:color w:val="000000"/>
          <w:sz w:val="28"/>
          <w:szCs w:val="28"/>
        </w:rPr>
      </w:pPr>
      <w:r>
        <w:rPr>
          <w:b/>
          <w:color w:val="000000"/>
          <w:sz w:val="28"/>
          <w:szCs w:val="28"/>
        </w:rPr>
        <w:t>г. Одинцово</w:t>
      </w:r>
    </w:p>
    <w:p>
      <w:pPr>
        <w:spacing w:line="360" w:lineRule="auto"/>
        <w:ind w:firstLine="567"/>
        <w:jc w:val="both"/>
        <w:rPr>
          <w:color w:val="000000"/>
          <w:sz w:val="28"/>
          <w:szCs w:val="28"/>
        </w:rPr>
      </w:pPr>
      <w:r>
        <w:rPr>
          <w:color w:val="000000"/>
          <w:sz w:val="28"/>
          <w:szCs w:val="28"/>
        </w:rPr>
        <w:t>Хозяйственно-бытовые сточные воды от потребителей г. Одинцово самотеком поступают на две канализационные насосные станции (КНС): КНС «Одинцово» по адресу Московская область, г. Одинцово, Садовая 26а и КНС «Отрадное» по адресу Московская область, г. Одинцово, западная промышленная зона. Оттуда сточные воды перекачиваются в Москву на очистку.</w:t>
      </w:r>
    </w:p>
    <w:p>
      <w:pPr>
        <w:spacing w:line="360" w:lineRule="auto"/>
        <w:ind w:firstLine="567"/>
        <w:jc w:val="both"/>
        <w:rPr>
          <w:b/>
          <w:color w:val="000000"/>
          <w:sz w:val="28"/>
          <w:szCs w:val="28"/>
        </w:rPr>
      </w:pPr>
      <w:r>
        <w:rPr>
          <w:b/>
          <w:color w:val="000000"/>
          <w:sz w:val="28"/>
          <w:szCs w:val="28"/>
        </w:rPr>
        <w:t>г. Одинцово, мкр. Баковка</w:t>
      </w:r>
    </w:p>
    <w:p>
      <w:pPr>
        <w:spacing w:line="360" w:lineRule="auto"/>
        <w:ind w:firstLine="567"/>
        <w:jc w:val="both"/>
        <w:rPr>
          <w:color w:val="000000"/>
          <w:sz w:val="28"/>
          <w:szCs w:val="28"/>
        </w:rPr>
      </w:pPr>
      <w:r>
        <w:rPr>
          <w:color w:val="000000"/>
          <w:sz w:val="28"/>
          <w:szCs w:val="28"/>
        </w:rPr>
        <w:t>Хозяйственно-бытовые сточные воды от потребителей г. Одинцово, мкр.Баковка самотеком поступают на канализационную насосную станцию в мкр.Баковка. Оттуда сточные воды перекачиваются на КНС ОА «Одинцовская теплосеть» и далее в Москву на очистку.</w:t>
      </w:r>
    </w:p>
    <w:p>
      <w:pPr>
        <w:spacing w:line="360" w:lineRule="auto"/>
        <w:ind w:firstLine="567"/>
        <w:jc w:val="both"/>
        <w:rPr>
          <w:color w:val="000000"/>
          <w:sz w:val="28"/>
          <w:szCs w:val="28"/>
        </w:rPr>
      </w:pPr>
      <w:r>
        <w:rPr>
          <w:color w:val="000000"/>
          <w:sz w:val="28"/>
          <w:szCs w:val="28"/>
        </w:rPr>
        <w:t>Канализационные очистные сооружения (КОС) в ТУ Одинцово отсутствуют.</w:t>
      </w:r>
    </w:p>
    <w:p>
      <w:pPr>
        <w:spacing w:line="360" w:lineRule="auto"/>
        <w:ind w:firstLine="567"/>
        <w:jc w:val="both"/>
        <w:rPr>
          <w:color w:val="000000"/>
          <w:sz w:val="28"/>
          <w:szCs w:val="28"/>
        </w:rPr>
      </w:pPr>
      <w:r>
        <w:rPr>
          <w:color w:val="000000"/>
          <w:sz w:val="28"/>
          <w:szCs w:val="28"/>
        </w:rPr>
        <w:t xml:space="preserve">В ТУ общая протяженность сетей хозяйственно-бытовой канализации на 2018 год составляет 107 км в том числе 100% износ имеют 17 км канализационных сетей. </w:t>
      </w:r>
    </w:p>
    <w:p>
      <w:pPr>
        <w:spacing w:line="360" w:lineRule="auto"/>
        <w:ind w:firstLine="567"/>
        <w:jc w:val="both"/>
        <w:rPr>
          <w:color w:val="000000"/>
          <w:sz w:val="28"/>
          <w:szCs w:val="28"/>
        </w:rPr>
      </w:pPr>
      <w:r>
        <w:rPr>
          <w:color w:val="000000"/>
          <w:sz w:val="28"/>
          <w:szCs w:val="28"/>
        </w:rPr>
        <w:t>Степень износа элементов канализации составляет:</w:t>
      </w:r>
    </w:p>
    <w:p>
      <w:pPr>
        <w:spacing w:line="360" w:lineRule="auto"/>
        <w:ind w:left="567"/>
        <w:jc w:val="both"/>
        <w:rPr>
          <w:color w:val="000000"/>
          <w:sz w:val="28"/>
          <w:szCs w:val="28"/>
        </w:rPr>
      </w:pPr>
      <w:r>
        <w:rPr>
          <w:color w:val="000000"/>
          <w:sz w:val="28"/>
          <w:szCs w:val="28"/>
        </w:rPr>
        <w:t>- здания - 16%;</w:t>
      </w:r>
    </w:p>
    <w:p>
      <w:pPr>
        <w:spacing w:line="360" w:lineRule="auto"/>
        <w:ind w:left="567"/>
        <w:jc w:val="both"/>
        <w:rPr>
          <w:color w:val="000000"/>
          <w:sz w:val="28"/>
          <w:szCs w:val="28"/>
        </w:rPr>
      </w:pPr>
      <w:r>
        <w:rPr>
          <w:color w:val="000000"/>
          <w:sz w:val="28"/>
          <w:szCs w:val="28"/>
        </w:rPr>
        <w:t>- сооружения - 41 %;</w:t>
      </w:r>
    </w:p>
    <w:p>
      <w:pPr>
        <w:spacing w:line="360" w:lineRule="auto"/>
        <w:ind w:left="567"/>
        <w:jc w:val="both"/>
        <w:rPr>
          <w:color w:val="000000"/>
          <w:sz w:val="28"/>
          <w:szCs w:val="28"/>
        </w:rPr>
      </w:pPr>
      <w:r>
        <w:rPr>
          <w:color w:val="000000"/>
          <w:sz w:val="28"/>
          <w:szCs w:val="28"/>
        </w:rPr>
        <w:t>- сети канализации - 52%.</w:t>
      </w:r>
    </w:p>
    <w:p>
      <w:pPr>
        <w:spacing w:line="360" w:lineRule="auto"/>
        <w:ind w:firstLine="567"/>
        <w:jc w:val="both"/>
        <w:rPr>
          <w:color w:val="000000"/>
          <w:sz w:val="28"/>
          <w:szCs w:val="28"/>
        </w:rPr>
      </w:pPr>
      <w:r>
        <w:rPr>
          <w:color w:val="000000"/>
          <w:sz w:val="28"/>
          <w:szCs w:val="28"/>
        </w:rPr>
        <w:t>В 2017 году было зарегистрировано 170 засоров на канализационных сетях. Ежегодно проводятся прочистка и промывка 14 км канализационных сетей.</w:t>
      </w:r>
    </w:p>
    <w:p>
      <w:pPr>
        <w:spacing w:line="360" w:lineRule="auto"/>
        <w:ind w:firstLine="567"/>
        <w:jc w:val="both"/>
        <w:rPr>
          <w:color w:val="000000"/>
          <w:sz w:val="28"/>
          <w:szCs w:val="28"/>
        </w:rPr>
      </w:pPr>
      <w:r>
        <w:rPr>
          <w:color w:val="000000"/>
          <w:sz w:val="28"/>
          <w:szCs w:val="28"/>
        </w:rPr>
        <w:t>Канализационные стоки города Одинцово собираются на четыре основные канализационные линии:</w:t>
      </w:r>
    </w:p>
    <w:p>
      <w:pPr>
        <w:spacing w:line="360" w:lineRule="auto"/>
        <w:ind w:left="567"/>
        <w:jc w:val="both"/>
        <w:rPr>
          <w:color w:val="000000"/>
          <w:sz w:val="28"/>
          <w:szCs w:val="28"/>
        </w:rPr>
      </w:pPr>
      <w:r>
        <w:rPr>
          <w:color w:val="000000"/>
          <w:sz w:val="28"/>
          <w:szCs w:val="28"/>
        </w:rPr>
        <w:t>- канализационный коллектор d=1000 мм на который поступают стоки от микрорайонов «Родники», «Кутузовский», 5-5а, 6-6а.;</w:t>
      </w:r>
    </w:p>
    <w:p>
      <w:pPr>
        <w:spacing w:line="360" w:lineRule="auto"/>
        <w:ind w:left="567"/>
        <w:jc w:val="both"/>
        <w:rPr>
          <w:color w:val="000000"/>
          <w:sz w:val="28"/>
          <w:szCs w:val="28"/>
        </w:rPr>
      </w:pPr>
      <w:r>
        <w:rPr>
          <w:color w:val="000000"/>
          <w:sz w:val="28"/>
          <w:szCs w:val="28"/>
        </w:rPr>
        <w:t>- канализационный коллектор d=700 мм собирающий сточные воды от КНС «Барви-ха»,  микрорайон 4-4а, 7-7а;</w:t>
      </w:r>
    </w:p>
    <w:p>
      <w:pPr>
        <w:spacing w:line="360" w:lineRule="auto"/>
        <w:ind w:left="567"/>
        <w:jc w:val="both"/>
        <w:rPr>
          <w:color w:val="000000"/>
          <w:sz w:val="28"/>
          <w:szCs w:val="28"/>
        </w:rPr>
      </w:pPr>
      <w:r>
        <w:rPr>
          <w:color w:val="000000"/>
          <w:sz w:val="28"/>
          <w:szCs w:val="28"/>
        </w:rPr>
        <w:t>- канализационный коллектор d=600-1000 мм в который поступают стоки от кварта-лов 1-1а, 2, 3, микрорайон «Отрадное»;</w:t>
      </w:r>
    </w:p>
    <w:p>
      <w:pPr>
        <w:spacing w:line="360" w:lineRule="auto"/>
        <w:ind w:left="567"/>
        <w:jc w:val="both"/>
        <w:rPr>
          <w:color w:val="000000"/>
          <w:sz w:val="28"/>
          <w:szCs w:val="28"/>
        </w:rPr>
      </w:pPr>
      <w:r>
        <w:rPr>
          <w:color w:val="000000"/>
          <w:sz w:val="28"/>
          <w:szCs w:val="28"/>
        </w:rPr>
        <w:t>- канализационный коллектор d=600-700 мм в который поступают стоки от Западной пром. зоны, Южной пром. Зоны, д.о. «Озера», Лесного городка, микрорайонов 8, 9.</w:t>
      </w:r>
    </w:p>
    <w:p>
      <w:pPr>
        <w:spacing w:line="360" w:lineRule="auto"/>
        <w:ind w:firstLine="567"/>
        <w:jc w:val="both"/>
        <w:rPr>
          <w:color w:val="000000"/>
          <w:sz w:val="28"/>
          <w:szCs w:val="28"/>
        </w:rPr>
      </w:pPr>
      <w:r>
        <w:rPr>
          <w:color w:val="000000"/>
          <w:sz w:val="28"/>
          <w:szCs w:val="28"/>
        </w:rPr>
        <w:t>Канализационные стоки со всего города, а также части пригорода по основным коллекторам поступают в подводящий коллектор d=1500 мм к Ново-Солнцевской КНС. Затем по напорным трубопроводам 2d-1400 мм КНС перекачивает сточные воды в коллектор от района «Теплый стан» d=2800 мм, потом стоки поступают в Обручевский канал и далее в Южную канализационную систему и на Курьяновскую станцию аэрации. Третий напорный трубопровод d=1400 мм от Ново-Солнцевской КНС до Обручевского канала находится в резерве.</w:t>
      </w:r>
    </w:p>
    <w:p>
      <w:pPr>
        <w:spacing w:line="360" w:lineRule="auto"/>
        <w:ind w:firstLine="567"/>
        <w:jc w:val="both"/>
        <w:rPr>
          <w:color w:val="000000"/>
          <w:sz w:val="28"/>
          <w:szCs w:val="28"/>
        </w:rPr>
      </w:pPr>
      <w:r>
        <w:rPr>
          <w:color w:val="000000"/>
          <w:sz w:val="28"/>
          <w:szCs w:val="28"/>
        </w:rPr>
        <w:t>В связи с увеличением жилищного строительства выполнен проект реконструкции Ново-Сланцевской КНС до объема 350 тыс.м3/сут. Выполнен проект реконструкции трех существующих напорных трубопроводов d=1400мм и начато строительство четвертой нитки отводящего трубопровода d=1600мм от Ново-Сланцевской КНС до Обручевского канала. Так же для приема дополнительного стока требуется реконструкция Курьяновской станции аэрации и Южной канализационной системы.</w:t>
      </w:r>
    </w:p>
    <w:p>
      <w:pPr>
        <w:spacing w:line="360" w:lineRule="auto"/>
        <w:ind w:firstLine="567"/>
        <w:jc w:val="both"/>
        <w:rPr>
          <w:color w:val="000000"/>
          <w:sz w:val="28"/>
          <w:szCs w:val="28"/>
        </w:rPr>
      </w:pPr>
      <w:r>
        <w:rPr>
          <w:color w:val="000000"/>
          <w:sz w:val="28"/>
          <w:szCs w:val="28"/>
        </w:rPr>
        <w:t>По данным ОАО «Одинцовский водоканал» городские коллекторы d=600-1500 мм работают в нормальном режиме, но так как большинство из них проложено в 70-е годы, необходима их реконструкция, а внутриквартальные сети d=400-600 мм нуждаются в переклад-ке. Основными материалами прокладки канализационных сетей являются керамика, железобетон, асбестоцемент, чугун, ПВХ, сталь.</w:t>
      </w:r>
    </w:p>
    <w:p>
      <w:pPr>
        <w:spacing w:line="360" w:lineRule="auto"/>
        <w:ind w:firstLine="567"/>
        <w:jc w:val="both"/>
        <w:rPr>
          <w:color w:val="000000"/>
          <w:sz w:val="28"/>
          <w:szCs w:val="28"/>
        </w:rPr>
      </w:pPr>
      <w:r>
        <w:rPr>
          <w:color w:val="000000"/>
          <w:sz w:val="28"/>
          <w:szCs w:val="28"/>
        </w:rPr>
        <w:t>Все КНС оборудованы механической очисткой: механизированными решетками для очистки сточной жидкости от крупных твердых и волокнистых отбросов (щепки, тряпки и т.д.) и дробилками для измельчения крупных и средних отбросов, снимаемых с механизированных решеток. Все собранные отбросы вывозятся на полигон ТБО.</w:t>
      </w:r>
    </w:p>
    <w:p>
      <w:pPr>
        <w:spacing w:line="360" w:lineRule="auto"/>
        <w:ind w:firstLine="567"/>
        <w:jc w:val="both"/>
        <w:rPr>
          <w:color w:val="000000"/>
          <w:sz w:val="28"/>
          <w:szCs w:val="28"/>
        </w:rPr>
      </w:pPr>
      <w:r>
        <w:rPr>
          <w:color w:val="000000"/>
          <w:sz w:val="28"/>
          <w:szCs w:val="28"/>
        </w:rPr>
        <w:t>Характеристика сооружений транспорта стоков представлена в таблице 2.3-1.</w:t>
      </w:r>
    </w:p>
    <w:p>
      <w:pPr>
        <w:spacing w:line="360" w:lineRule="auto"/>
        <w:ind w:firstLine="567"/>
        <w:jc w:val="both"/>
        <w:rPr>
          <w:color w:val="000000"/>
          <w:sz w:val="28"/>
          <w:szCs w:val="28"/>
        </w:rPr>
      </w:pPr>
    </w:p>
    <w:p>
      <w:pPr>
        <w:spacing w:line="360" w:lineRule="auto"/>
        <w:ind w:firstLine="567"/>
        <w:jc w:val="both"/>
        <w:rPr>
          <w:color w:val="000000"/>
          <w:sz w:val="28"/>
          <w:szCs w:val="28"/>
        </w:rPr>
        <w:sectPr>
          <w:pgSz w:w="11906" w:h="16838"/>
          <w:pgMar w:top="1134" w:right="850" w:bottom="1134" w:left="1701" w:header="708" w:footer="708" w:gutter="0"/>
          <w:cols w:space="708" w:num="1"/>
          <w:docGrid w:linePitch="360" w:charSpace="0"/>
        </w:sectPr>
      </w:pPr>
    </w:p>
    <w:p>
      <w:pPr>
        <w:spacing w:line="360" w:lineRule="auto"/>
        <w:ind w:firstLine="567"/>
        <w:jc w:val="both"/>
        <w:rPr>
          <w:b/>
          <w:color w:val="000000"/>
          <w:sz w:val="28"/>
          <w:szCs w:val="28"/>
        </w:rPr>
      </w:pPr>
      <w:r>
        <w:rPr>
          <w:b/>
          <w:color w:val="000000"/>
          <w:sz w:val="28"/>
          <w:szCs w:val="28"/>
        </w:rPr>
        <w:t>Таблица 2.3-1. Характеристики канализационных насосных станций</w:t>
      </w:r>
    </w:p>
    <w:tbl>
      <w:tblPr>
        <w:tblStyle w:val="100"/>
        <w:tblW w:w="1545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05"/>
        <w:gridCol w:w="1701"/>
        <w:gridCol w:w="1276"/>
        <w:gridCol w:w="1134"/>
        <w:gridCol w:w="2693"/>
        <w:gridCol w:w="1843"/>
        <w:gridCol w:w="1559"/>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blHeader/>
        </w:trPr>
        <w:tc>
          <w:tcPr>
            <w:tcW w:w="5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 п/п</w:t>
            </w:r>
          </w:p>
        </w:tc>
        <w:tc>
          <w:tcPr>
            <w:tcW w:w="13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Наименование</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Местонахождение станции</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Год ввода в эксплуатацию</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Производительность проектная КНС, м</w:t>
            </w:r>
            <w:r>
              <w:rPr>
                <w:b/>
                <w:vertAlign w:val="superscript"/>
              </w:rPr>
              <w:t>3</w:t>
            </w:r>
            <w:r>
              <w:rPr>
                <w:b/>
              </w:rPr>
              <w:t>/сут</w:t>
            </w:r>
          </w:p>
        </w:tc>
        <w:tc>
          <w:tcPr>
            <w:tcW w:w="26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highlight w:val="yellow"/>
              </w:rPr>
            </w:pPr>
            <w:r>
              <w:rPr>
                <w:b/>
              </w:rPr>
              <w:t>Марка насосного оборудования</w:t>
            </w:r>
          </w:p>
        </w:tc>
        <w:tc>
          <w:tcPr>
            <w:tcW w:w="34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highlight w:val="yellow"/>
              </w:rPr>
            </w:pPr>
            <w:r>
              <w:rPr>
                <w:b/>
              </w:rPr>
              <w:t>Характеристика насосного оборудования</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Год ввода в эксплуатацию насосного оборудования</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Потребление электроэнергии за 2017 год, кВт/ч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39"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1305"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2693"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highlight w:val="yellow"/>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rPr>
            </w:pPr>
            <w:r>
              <w:rPr>
                <w:b/>
              </w:rPr>
              <w:t>Производительность, м</w:t>
            </w:r>
            <w:r>
              <w:rPr>
                <w:b/>
                <w:vertAlign w:val="superscript"/>
              </w:rPr>
              <w:t>3</w:t>
            </w:r>
            <w:r>
              <w:rPr>
                <w:b/>
              </w:rPr>
              <w:t>/час</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
                <w:highlight w:val="yellow"/>
              </w:rPr>
            </w:pPr>
            <w:r>
              <w:rPr>
                <w:b/>
              </w:rPr>
              <w:t>Мощность, кВт</w:t>
            </w: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BFBFBF"/>
            <w:vAlign w:val="center"/>
          </w:tcPr>
          <w:p>
            <w:pPr>
              <w:autoSpaceDE w:val="0"/>
              <w:autoSpaceDN w:val="0"/>
              <w:adjustRightInd w:val="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w:t>
            </w:r>
          </w:p>
        </w:tc>
        <w:tc>
          <w:tcPr>
            <w:tcW w:w="13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КНС «Одинцово»</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МО, г. Одинцово, ул. Садовая 26а</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1971</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1400</w:t>
            </w:r>
          </w:p>
        </w:tc>
        <w:tc>
          <w:tcPr>
            <w:tcW w:w="2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СМ-150-125-315Б/4;</w:t>
            </w:r>
          </w:p>
          <w:p>
            <w:pPr>
              <w:autoSpaceDE w:val="0"/>
              <w:autoSpaceDN w:val="0"/>
              <w:adjustRightInd w:val="0"/>
              <w:jc w:val="center"/>
              <w:rPr>
                <w:highlight w:val="yellow"/>
              </w:rPr>
            </w:pPr>
            <w:r>
              <w:t>Насос № 2: СМ-150-125-315Б/4</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150;</w:t>
            </w:r>
          </w:p>
          <w:p>
            <w:pPr>
              <w:autoSpaceDE w:val="0"/>
              <w:autoSpaceDN w:val="0"/>
              <w:adjustRightInd w:val="0"/>
              <w:jc w:val="center"/>
            </w:pPr>
            <w:r>
              <w:t>Насос № 2: 150;</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45;</w:t>
            </w:r>
          </w:p>
          <w:p>
            <w:pPr>
              <w:autoSpaceDE w:val="0"/>
              <w:autoSpaceDN w:val="0"/>
              <w:adjustRightInd w:val="0"/>
              <w:jc w:val="center"/>
              <w:rPr>
                <w:highlight w:val="yellow"/>
              </w:rPr>
            </w:pPr>
            <w:r>
              <w:t>Насос № 2: 45;</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2009;</w:t>
            </w:r>
          </w:p>
          <w:p>
            <w:pPr>
              <w:autoSpaceDE w:val="0"/>
              <w:autoSpaceDN w:val="0"/>
              <w:adjustRightInd w:val="0"/>
              <w:jc w:val="center"/>
            </w:pPr>
            <w:r>
              <w:t>Насос № 2: 2009;</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233860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2</w:t>
            </w:r>
          </w:p>
        </w:tc>
        <w:tc>
          <w:tcPr>
            <w:tcW w:w="13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КНС «Отрадное»</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МО г. Одинцово, ул. Западная</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1994</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1400</w:t>
            </w:r>
          </w:p>
        </w:tc>
        <w:tc>
          <w:tcPr>
            <w:tcW w:w="2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СМ-150-125-315Б/4;</w:t>
            </w:r>
          </w:p>
          <w:p>
            <w:pPr>
              <w:jc w:val="center"/>
            </w:pPr>
            <w:r>
              <w:t>Насос № 2: СМ-150-125-315Б/4;</w:t>
            </w:r>
          </w:p>
          <w:p>
            <w:pPr>
              <w:jc w:val="center"/>
              <w:rPr>
                <w:color w:val="000000"/>
              </w:rPr>
            </w:pPr>
            <w:r>
              <w:t>Насос № 3: СМ-150-125-315Б/4;</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150;</w:t>
            </w:r>
          </w:p>
          <w:p>
            <w:pPr>
              <w:autoSpaceDE w:val="0"/>
              <w:autoSpaceDN w:val="0"/>
              <w:adjustRightInd w:val="0"/>
              <w:jc w:val="center"/>
            </w:pPr>
            <w:r>
              <w:t>Насос № 2: 150;</w:t>
            </w:r>
          </w:p>
          <w:p>
            <w:pPr>
              <w:autoSpaceDE w:val="0"/>
              <w:autoSpaceDN w:val="0"/>
              <w:adjustRightInd w:val="0"/>
              <w:jc w:val="center"/>
            </w:pPr>
            <w:r>
              <w:t>Насос № 3: 150;</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45;</w:t>
            </w:r>
          </w:p>
          <w:p>
            <w:pPr>
              <w:autoSpaceDE w:val="0"/>
              <w:autoSpaceDN w:val="0"/>
              <w:adjustRightInd w:val="0"/>
              <w:jc w:val="center"/>
            </w:pPr>
            <w:r>
              <w:t>Насос № 2: 45;</w:t>
            </w:r>
          </w:p>
          <w:p>
            <w:pPr>
              <w:autoSpaceDE w:val="0"/>
              <w:autoSpaceDN w:val="0"/>
              <w:adjustRightInd w:val="0"/>
              <w:jc w:val="center"/>
            </w:pPr>
            <w:r>
              <w:t>Насос № 3: 45;</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№1: 1994;</w:t>
            </w:r>
          </w:p>
          <w:p>
            <w:pPr>
              <w:autoSpaceDE w:val="0"/>
              <w:autoSpaceDN w:val="0"/>
              <w:adjustRightInd w:val="0"/>
              <w:jc w:val="center"/>
            </w:pPr>
            <w:r>
              <w:t>Насос №2: 1994;</w:t>
            </w:r>
          </w:p>
          <w:p>
            <w:pPr>
              <w:autoSpaceDE w:val="0"/>
              <w:autoSpaceDN w:val="0"/>
              <w:adjustRightInd w:val="0"/>
              <w:jc w:val="center"/>
            </w:pPr>
            <w:r>
              <w:t>Насос №3: 1994;</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59120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3</w:t>
            </w:r>
          </w:p>
        </w:tc>
        <w:tc>
          <w:tcPr>
            <w:tcW w:w="13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КНС «Озеры»</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МО, поселок     ДО «Озера»</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1973</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highlight w:val="yellow"/>
              </w:rPr>
            </w:pPr>
            <w:r>
              <w:t>1400</w:t>
            </w:r>
          </w:p>
        </w:tc>
        <w:tc>
          <w:tcPr>
            <w:tcW w:w="2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СМ-125-150-315;</w:t>
            </w:r>
          </w:p>
          <w:p>
            <w:pPr>
              <w:autoSpaceDE w:val="0"/>
              <w:autoSpaceDN w:val="0"/>
              <w:adjustRightInd w:val="0"/>
              <w:jc w:val="center"/>
              <w:rPr>
                <w:highlight w:val="yellow"/>
              </w:rPr>
            </w:pPr>
            <w:r>
              <w:t>Насос № 2: СМ-125-150-315</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600;</w:t>
            </w:r>
          </w:p>
          <w:p>
            <w:pPr>
              <w:autoSpaceDE w:val="0"/>
              <w:autoSpaceDN w:val="0"/>
              <w:adjustRightInd w:val="0"/>
              <w:jc w:val="center"/>
              <w:rPr>
                <w:highlight w:val="yellow"/>
              </w:rPr>
            </w:pPr>
            <w:r>
              <w:t>Насос № 2: 600;</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37;</w:t>
            </w:r>
          </w:p>
          <w:p>
            <w:pPr>
              <w:autoSpaceDE w:val="0"/>
              <w:autoSpaceDN w:val="0"/>
              <w:adjustRightInd w:val="0"/>
              <w:jc w:val="center"/>
              <w:rPr>
                <w:highlight w:val="yellow"/>
              </w:rPr>
            </w:pPr>
            <w:r>
              <w:t>Насос № 2: 37;</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2004;</w:t>
            </w:r>
          </w:p>
          <w:p>
            <w:pPr>
              <w:autoSpaceDE w:val="0"/>
              <w:autoSpaceDN w:val="0"/>
              <w:adjustRightInd w:val="0"/>
              <w:jc w:val="center"/>
              <w:rPr>
                <w:highlight w:val="yellow"/>
              </w:rPr>
            </w:pPr>
            <w:r>
              <w:t>Насос № 2: 2004;</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highlight w:val="yellow"/>
              </w:rPr>
            </w:pPr>
            <w:r>
              <w:t>н/д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4</w:t>
            </w:r>
          </w:p>
        </w:tc>
        <w:tc>
          <w:tcPr>
            <w:tcW w:w="13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КНС "Переделки"</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highlight w:val="yellow"/>
              </w:rPr>
            </w:pPr>
            <w:r>
              <w:t>МО, Одинцовский район, поселок Переделки</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1977</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1400</w:t>
            </w:r>
          </w:p>
        </w:tc>
        <w:tc>
          <w:tcPr>
            <w:tcW w:w="2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№1: ФНГ 450/22,5;                  Насос №2: СМ 150-125-315/4;</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450;</w:t>
            </w:r>
          </w:p>
          <w:p>
            <w:pPr>
              <w:autoSpaceDE w:val="0"/>
              <w:autoSpaceDN w:val="0"/>
              <w:adjustRightInd w:val="0"/>
              <w:jc w:val="center"/>
              <w:rPr>
                <w:highlight w:val="yellow"/>
              </w:rPr>
            </w:pPr>
            <w:r>
              <w:t>Насос № 2: 150;</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22,5;</w:t>
            </w:r>
          </w:p>
          <w:p>
            <w:pPr>
              <w:autoSpaceDE w:val="0"/>
              <w:autoSpaceDN w:val="0"/>
              <w:adjustRightInd w:val="0"/>
              <w:jc w:val="center"/>
              <w:rPr>
                <w:highlight w:val="yellow"/>
              </w:rPr>
            </w:pPr>
            <w:r>
              <w:t>Насос № 2: 45;</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2000;</w:t>
            </w:r>
          </w:p>
          <w:p>
            <w:pPr>
              <w:autoSpaceDE w:val="0"/>
              <w:autoSpaceDN w:val="0"/>
              <w:adjustRightInd w:val="0"/>
              <w:jc w:val="center"/>
            </w:pPr>
            <w:r>
              <w:t>Насос № 2: 2012</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highlight w:val="yellow"/>
              </w:rPr>
            </w:pPr>
            <w:r>
              <w:t>253733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5</w:t>
            </w:r>
          </w:p>
        </w:tc>
        <w:tc>
          <w:tcPr>
            <w:tcW w:w="13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КНС "Баковка"</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МО, г.Одинцово, мкр.Баковка</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н/д</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1100</w:t>
            </w:r>
          </w:p>
        </w:tc>
        <w:tc>
          <w:tcPr>
            <w:tcW w:w="2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СМ-100-65-200;</w:t>
            </w:r>
          </w:p>
          <w:p>
            <w:pPr>
              <w:autoSpaceDE w:val="0"/>
              <w:autoSpaceDN w:val="0"/>
              <w:adjustRightInd w:val="0"/>
              <w:jc w:val="center"/>
              <w:rPr>
                <w:highlight w:val="yellow"/>
              </w:rPr>
            </w:pPr>
            <w:r>
              <w:t>Насос № 2: СМ-100-65-200;</w:t>
            </w:r>
          </w:p>
        </w:tc>
        <w:tc>
          <w:tcPr>
            <w:tcW w:w="18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100;</w:t>
            </w:r>
          </w:p>
          <w:p>
            <w:pPr>
              <w:autoSpaceDE w:val="0"/>
              <w:autoSpaceDN w:val="0"/>
              <w:adjustRightInd w:val="0"/>
              <w:jc w:val="center"/>
              <w:rPr>
                <w:highlight w:val="yellow"/>
              </w:rPr>
            </w:pPr>
            <w:r>
              <w:t>Насос № 2: 100;</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Насос № 1: 27;</w:t>
            </w:r>
          </w:p>
          <w:p>
            <w:pPr>
              <w:autoSpaceDE w:val="0"/>
              <w:autoSpaceDN w:val="0"/>
              <w:adjustRightInd w:val="0"/>
              <w:jc w:val="center"/>
              <w:rPr>
                <w:highlight w:val="yellow"/>
              </w:rPr>
            </w:pPr>
            <w:r>
              <w:t>Насос № 2: 27;</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t>н/д</w:t>
            </w:r>
          </w:p>
        </w:tc>
        <w:tc>
          <w:tcPr>
            <w:tcW w:w="170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highlight w:val="yellow"/>
              </w:rPr>
            </w:pPr>
            <w:r>
              <w:t>н/д</w:t>
            </w:r>
          </w:p>
        </w:tc>
      </w:tr>
    </w:tbl>
    <w:p>
      <w:pPr>
        <w:spacing w:line="360" w:lineRule="auto"/>
        <w:ind w:firstLine="567"/>
        <w:jc w:val="both"/>
        <w:rPr>
          <w:color w:val="000000"/>
          <w:sz w:val="28"/>
          <w:szCs w:val="28"/>
        </w:rPr>
      </w:pPr>
    </w:p>
    <w:p>
      <w:pPr>
        <w:spacing w:line="360" w:lineRule="auto"/>
        <w:ind w:firstLine="567"/>
        <w:jc w:val="both"/>
        <w:rPr>
          <w:color w:val="000000"/>
          <w:sz w:val="28"/>
          <w:szCs w:val="28"/>
        </w:rPr>
        <w:sectPr>
          <w:pgSz w:w="16838" w:h="11906" w:orient="landscape"/>
          <w:pgMar w:top="1701" w:right="1134" w:bottom="850" w:left="1134" w:header="708" w:footer="708" w:gutter="0"/>
          <w:cols w:space="708" w:num="1"/>
          <w:docGrid w:linePitch="360" w:charSpace="0"/>
        </w:sectPr>
      </w:pPr>
    </w:p>
    <w:p>
      <w:pPr>
        <w:spacing w:line="360" w:lineRule="auto"/>
        <w:ind w:firstLine="567"/>
        <w:jc w:val="both"/>
        <w:rPr>
          <w:color w:val="000000"/>
          <w:sz w:val="28"/>
          <w:szCs w:val="28"/>
        </w:rPr>
      </w:pPr>
      <w:r>
        <w:rPr>
          <w:color w:val="000000"/>
          <w:sz w:val="28"/>
          <w:szCs w:val="28"/>
        </w:rPr>
        <w:t xml:space="preserve">Общая протяженность сетей хозяйственно-бытовой канализации составляет 107 км. Протяжённость канализационных сетей, в том числе напорная в г. Одинцово– 25,27 км; </w:t>
      </w:r>
    </w:p>
    <w:p>
      <w:pPr>
        <w:spacing w:line="360" w:lineRule="auto"/>
        <w:ind w:firstLine="567"/>
        <w:jc w:val="both"/>
        <w:rPr>
          <w:color w:val="000000"/>
          <w:sz w:val="28"/>
          <w:szCs w:val="28"/>
        </w:rPr>
      </w:pPr>
      <w:r>
        <w:rPr>
          <w:color w:val="000000"/>
          <w:sz w:val="28"/>
          <w:szCs w:val="28"/>
        </w:rPr>
        <w:t>Диаметры трубопроводов варьируются от 100 до 1400 мм. Материал канализационных сетей представлен керамикой, сталью, чугуном. На момент разработки Схемы износ сетей канализации составляет 80%.</w:t>
      </w:r>
    </w:p>
    <w:p>
      <w:pPr>
        <w:spacing w:line="360" w:lineRule="auto"/>
        <w:ind w:firstLine="567"/>
        <w:jc w:val="both"/>
        <w:rPr>
          <w:color w:val="000000"/>
          <w:sz w:val="28"/>
          <w:szCs w:val="28"/>
        </w:rPr>
      </w:pPr>
      <w:r>
        <w:rPr>
          <w:color w:val="000000"/>
          <w:sz w:val="28"/>
          <w:szCs w:val="28"/>
        </w:rPr>
        <w:t>Канализационные сети муниципального образования находятся в неудовлетворительном состоянии, сети имеют высокий процент износа и требуют незамедлительной реконструкции.</w:t>
      </w:r>
    </w:p>
    <w:p>
      <w:pPr>
        <w:spacing w:line="360" w:lineRule="auto"/>
        <w:ind w:firstLine="567"/>
        <w:jc w:val="both"/>
        <w:rPr>
          <w:color w:val="000000"/>
          <w:sz w:val="28"/>
          <w:szCs w:val="28"/>
        </w:rPr>
      </w:pPr>
      <w:r>
        <w:rPr>
          <w:color w:val="000000"/>
          <w:sz w:val="28"/>
          <w:szCs w:val="28"/>
        </w:rPr>
        <w:t>Согласно данным, предоставленным ОАО «Одинцовский водоканал» и ФГБУ «ЦЖКУ» Минобороны России случаев нарушения состава стоков, принимаемых от абонентов, в 2017 г. – не выявлялось.</w:t>
      </w:r>
    </w:p>
    <w:p>
      <w:pPr>
        <w:spacing w:line="360" w:lineRule="auto"/>
        <w:ind w:firstLine="567"/>
        <w:jc w:val="both"/>
        <w:rPr>
          <w:color w:val="000000"/>
          <w:sz w:val="28"/>
          <w:szCs w:val="28"/>
        </w:rPr>
      </w:pPr>
      <w:r>
        <w:rPr>
          <w:color w:val="000000"/>
          <w:sz w:val="28"/>
          <w:szCs w:val="28"/>
        </w:rPr>
        <w:t>Удельные затраты электрической энергии на сбор и очистку стоков по «ТУ Одинцово» приведены в таблице 2.3-2.</w:t>
      </w:r>
    </w:p>
    <w:p>
      <w:pPr>
        <w:spacing w:line="360" w:lineRule="auto"/>
        <w:ind w:firstLine="567"/>
        <w:jc w:val="both"/>
        <w:rPr>
          <w:b/>
          <w:color w:val="000000"/>
          <w:sz w:val="28"/>
          <w:szCs w:val="28"/>
        </w:rPr>
      </w:pPr>
      <w:r>
        <w:rPr>
          <w:b/>
          <w:color w:val="000000"/>
          <w:sz w:val="28"/>
          <w:szCs w:val="28"/>
        </w:rPr>
        <w:t>Таблица 2.3-2. Удельные затраты на сбор и очистку стоков в денежном выражении по «ТУ Одинцово».</w:t>
      </w:r>
    </w:p>
    <w:tbl>
      <w:tblPr>
        <w:tblStyle w:val="10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28"/>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w:t>
            </w:r>
          </w:p>
          <w:p>
            <w:pPr>
              <w:pStyle w:val="469"/>
              <w:ind w:firstLine="0"/>
              <w:jc w:val="center"/>
              <w:rPr>
                <w:rFonts w:ascii="Times New Roman" w:hAnsi="Times New Roman"/>
                <w:b/>
              </w:rPr>
            </w:pPr>
            <w:r>
              <w:rPr>
                <w:rFonts w:ascii="Times New Roman" w:hAnsi="Times New Roman"/>
                <w:b/>
              </w:rPr>
              <w:t>п/п</w:t>
            </w:r>
          </w:p>
        </w:tc>
        <w:tc>
          <w:tcPr>
            <w:tcW w:w="3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bCs/>
                <w:color w:val="000000"/>
                <w:lang w:eastAsia="ru-RU"/>
              </w:rPr>
              <w:t>Населенный пункт</w:t>
            </w:r>
          </w:p>
        </w:tc>
        <w:tc>
          <w:tcPr>
            <w:tcW w:w="52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 xml:space="preserve">Удельные затраты электрической энергии, </w:t>
            </w:r>
            <w:r>
              <w:rPr>
                <w:rFonts w:ascii="Times New Roman" w:hAnsi="Times New Roman"/>
                <w:b/>
              </w:rPr>
              <w:br w:type="textWrapping"/>
            </w:r>
            <w:r>
              <w:rPr>
                <w:rFonts w:ascii="Times New Roman" w:hAnsi="Times New Roman"/>
                <w:b/>
              </w:rPr>
              <w:t>кВт-ч/м</w:t>
            </w:r>
            <w:r>
              <w:rPr>
                <w:rFonts w:ascii="Times New Roman" w:hAnsi="Times New Roman"/>
                <w:b/>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blHeader/>
        </w:trPr>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Calibri"/>
                <w:b/>
                <w:sz w:val="22"/>
              </w:rPr>
            </w:pPr>
          </w:p>
        </w:tc>
        <w:tc>
          <w:tcPr>
            <w:tcW w:w="3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Calibri"/>
                <w:b/>
                <w:sz w:val="22"/>
              </w:rPr>
            </w:pPr>
          </w:p>
        </w:tc>
        <w:tc>
          <w:tcPr>
            <w:tcW w:w="52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Calibri"/>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1</w:t>
            </w:r>
          </w:p>
        </w:tc>
        <w:tc>
          <w:tcPr>
            <w:tcW w:w="38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color w:val="000000"/>
                <w:sz w:val="22"/>
              </w:rPr>
              <w:t>ОАО «Одинцовский водоканал»</w:t>
            </w: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2</w:t>
            </w:r>
          </w:p>
        </w:tc>
        <w:tc>
          <w:tcPr>
            <w:tcW w:w="38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ФГБУ «ЦЖКУ» Минобороны России</w:t>
            </w: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0,93</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color w:val="000000"/>
          <w:sz w:val="28"/>
          <w:szCs w:val="28"/>
        </w:rPr>
        <w:t>Договорная нагрузка потребителей, не оборудованных приборами учета, определяется исходя из нормативов расчетным методом.</w:t>
      </w:r>
    </w:p>
    <w:p>
      <w:pPr>
        <w:spacing w:line="360" w:lineRule="auto"/>
        <w:ind w:firstLine="567"/>
        <w:jc w:val="both"/>
        <w:rPr>
          <w:color w:val="000000"/>
          <w:sz w:val="28"/>
          <w:szCs w:val="28"/>
        </w:rPr>
      </w:pPr>
      <w:r>
        <w:rPr>
          <w:color w:val="000000"/>
          <w:sz w:val="28"/>
          <w:szCs w:val="28"/>
        </w:rPr>
        <w:t>Договорные нагрузки потребителей услуги централизованного водоотведения часовые и в сутки максимального отведения в технологических зонах и элементах территориального деления «ТУ Одинцово» соответствуют фактическому водоотведению и представлены в таблицах 2.3-3 и 2.3-4.</w:t>
      </w:r>
    </w:p>
    <w:p>
      <w:pPr>
        <w:spacing w:line="360" w:lineRule="auto"/>
        <w:ind w:firstLine="567"/>
        <w:jc w:val="both"/>
        <w:rPr>
          <w:color w:val="000000"/>
          <w:sz w:val="28"/>
          <w:szCs w:val="28"/>
        </w:rPr>
      </w:pPr>
    </w:p>
    <w:p>
      <w:pPr>
        <w:spacing w:line="360" w:lineRule="auto"/>
        <w:ind w:firstLine="567"/>
        <w:jc w:val="both"/>
        <w:rPr>
          <w:color w:val="000000"/>
          <w:sz w:val="28"/>
          <w:szCs w:val="28"/>
        </w:rPr>
      </w:pPr>
    </w:p>
    <w:p>
      <w:pPr>
        <w:spacing w:line="360" w:lineRule="auto"/>
        <w:ind w:firstLine="567"/>
        <w:jc w:val="both"/>
        <w:rPr>
          <w:b/>
          <w:color w:val="000000"/>
          <w:sz w:val="28"/>
          <w:szCs w:val="28"/>
        </w:rPr>
      </w:pPr>
      <w:r>
        <w:rPr>
          <w:b/>
          <w:color w:val="000000"/>
          <w:sz w:val="28"/>
          <w:szCs w:val="28"/>
        </w:rPr>
        <w:t>Таблица 2.3-3. Договорные нагрузки потребителей услуги централизованного водоотведения часовые и в сутки максимального отведения в технологических зонах и элементах те-риториального деления «ТУ Одинцово»</w:t>
      </w:r>
    </w:p>
    <w:tbl>
      <w:tblPr>
        <w:tblStyle w:val="100"/>
        <w:tblW w:w="1006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516"/>
        <w:gridCol w:w="2267"/>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blHeader/>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w:t>
            </w:r>
          </w:p>
          <w:p>
            <w:pPr>
              <w:pStyle w:val="469"/>
              <w:ind w:firstLine="0"/>
              <w:jc w:val="center"/>
              <w:rPr>
                <w:rFonts w:ascii="Times New Roman" w:hAnsi="Times New Roman"/>
                <w:b/>
              </w:rPr>
            </w:pPr>
            <w:r>
              <w:rPr>
                <w:rFonts w:ascii="Times New Roman" w:hAnsi="Times New Roman"/>
                <w:b/>
              </w:rPr>
              <w:t>п/п</w:t>
            </w:r>
          </w:p>
        </w:tc>
        <w:tc>
          <w:tcPr>
            <w:tcW w:w="35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bCs/>
                <w:color w:val="000000"/>
                <w:lang w:eastAsia="ru-RU"/>
              </w:rPr>
              <w:t>Технологическая зона водоотведения</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b/>
              </w:rPr>
              <w:t>Часовые, м</w:t>
            </w:r>
            <w:r>
              <w:rPr>
                <w:rFonts w:ascii="Times New Roman" w:hAnsi="Times New Roman"/>
                <w:b/>
                <w:vertAlign w:val="superscript"/>
              </w:rPr>
              <w:t>3</w:t>
            </w:r>
            <w:r>
              <w:rPr>
                <w:rFonts w:ascii="Times New Roman" w:hAnsi="Times New Roman"/>
                <w:b/>
              </w:rPr>
              <w:t>/ч</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В сутки макс.водоотведения, м</w:t>
            </w:r>
            <w:r>
              <w:rPr>
                <w:rFonts w:ascii="Times New Roman" w:hAnsi="Times New Roman"/>
                <w:b/>
                <w:vertAlign w:val="superscript"/>
              </w:rPr>
              <w:t>3</w:t>
            </w:r>
            <w:r>
              <w:rPr>
                <w:rFonts w:ascii="Times New Roman" w:hAnsi="Times New Roman"/>
                <w:b/>
              </w:rPr>
              <w:t>/ч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1</w:t>
            </w:r>
          </w:p>
        </w:tc>
        <w:tc>
          <w:tcPr>
            <w:tcW w:w="3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ОАО «Одинцовсий водоканал»</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698,63</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838,35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2</w:t>
            </w:r>
          </w:p>
        </w:tc>
        <w:tc>
          <w:tcPr>
            <w:tcW w:w="3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ФГБУ «ЦЖКУ» Минобороны России</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385,90</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463,08</w:t>
            </w:r>
          </w:p>
        </w:tc>
      </w:tr>
    </w:tbl>
    <w:p>
      <w:pPr>
        <w:spacing w:line="360" w:lineRule="auto"/>
        <w:ind w:firstLine="567"/>
        <w:jc w:val="both"/>
        <w:rPr>
          <w:color w:val="000000"/>
          <w:sz w:val="28"/>
          <w:szCs w:val="28"/>
        </w:rPr>
      </w:pPr>
    </w:p>
    <w:p>
      <w:pPr>
        <w:spacing w:line="360" w:lineRule="auto"/>
        <w:ind w:firstLine="567"/>
        <w:jc w:val="both"/>
        <w:rPr>
          <w:b/>
          <w:color w:val="000000"/>
          <w:sz w:val="28"/>
          <w:szCs w:val="28"/>
        </w:rPr>
      </w:pPr>
      <w:r>
        <w:rPr>
          <w:b/>
          <w:color w:val="000000"/>
          <w:sz w:val="28"/>
          <w:szCs w:val="28"/>
        </w:rPr>
        <w:t>Таблица 2.3-4. Договорные нагрузки потребителей услуги централизованного водоотведения часовые и в сутки максимального отведения в технологических зонах и элементах территориального деления ГП Одинцово</w:t>
      </w:r>
    </w:p>
    <w:tbl>
      <w:tblPr>
        <w:tblStyle w:val="100"/>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516"/>
        <w:gridCol w:w="2267"/>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blHeader/>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w:t>
            </w:r>
          </w:p>
          <w:p>
            <w:pPr>
              <w:pStyle w:val="469"/>
              <w:ind w:firstLine="0"/>
              <w:jc w:val="center"/>
              <w:rPr>
                <w:rFonts w:ascii="Times New Roman" w:hAnsi="Times New Roman"/>
                <w:b/>
              </w:rPr>
            </w:pPr>
            <w:r>
              <w:rPr>
                <w:rFonts w:ascii="Times New Roman" w:hAnsi="Times New Roman"/>
                <w:b/>
              </w:rPr>
              <w:t>п/п</w:t>
            </w:r>
          </w:p>
        </w:tc>
        <w:tc>
          <w:tcPr>
            <w:tcW w:w="35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bCs/>
                <w:color w:val="000000"/>
                <w:lang w:eastAsia="ru-RU"/>
              </w:rPr>
              <w:t>Зона территориального деления</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b/>
              </w:rPr>
              <w:t>Часовые, м</w:t>
            </w:r>
            <w:r>
              <w:rPr>
                <w:rFonts w:ascii="Times New Roman" w:hAnsi="Times New Roman"/>
                <w:b/>
                <w:vertAlign w:val="superscript"/>
              </w:rPr>
              <w:t>3</w:t>
            </w:r>
            <w:r>
              <w:rPr>
                <w:rFonts w:ascii="Times New Roman" w:hAnsi="Times New Roman"/>
                <w:b/>
              </w:rPr>
              <w:t>/ч</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b/>
              </w:rPr>
            </w:pPr>
            <w:r>
              <w:rPr>
                <w:rFonts w:ascii="Times New Roman" w:hAnsi="Times New Roman"/>
                <w:b/>
              </w:rPr>
              <w:t>В сутки макс.водоотведения, м</w:t>
            </w:r>
            <w:r>
              <w:rPr>
                <w:rFonts w:ascii="Times New Roman" w:hAnsi="Times New Roman"/>
                <w:b/>
                <w:vertAlign w:val="superscript"/>
              </w:rPr>
              <w:t>3</w:t>
            </w:r>
            <w:r>
              <w:rPr>
                <w:rFonts w:ascii="Times New Roman" w:hAnsi="Times New Roman"/>
                <w:b/>
              </w:rPr>
              <w:t>/ч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1</w:t>
            </w:r>
          </w:p>
        </w:tc>
        <w:tc>
          <w:tcPr>
            <w:tcW w:w="35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ГП Одинцово</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1084,53</w:t>
            </w:r>
          </w:p>
        </w:tc>
        <w:tc>
          <w:tcPr>
            <w:tcW w:w="35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9"/>
              <w:ind w:firstLine="0"/>
              <w:jc w:val="center"/>
              <w:rPr>
                <w:rFonts w:ascii="Times New Roman" w:hAnsi="Times New Roman"/>
              </w:rPr>
            </w:pPr>
            <w:r>
              <w:rPr>
                <w:rFonts w:ascii="Times New Roman" w:hAnsi="Times New Roman"/>
              </w:rPr>
              <w:t>1301,43</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color w:val="000000"/>
          <w:sz w:val="28"/>
          <w:szCs w:val="28"/>
        </w:rPr>
        <w:t>Сведения о фактических объемах стоков (годовое, среднесуточное, максимальное суточное, в час максимального водоотведения поступление стоков) по группам потребителей в зоне действия ОАО «Одинцовский водоканал» и ФГБУ «ЦЖКУ» Минобороны России представлены в таблице 2.3-5.</w:t>
      </w:r>
    </w:p>
    <w:p>
      <w:pPr>
        <w:spacing w:line="360" w:lineRule="auto"/>
        <w:ind w:firstLine="567"/>
        <w:jc w:val="both"/>
        <w:rPr>
          <w:b/>
          <w:color w:val="000000"/>
          <w:sz w:val="28"/>
          <w:szCs w:val="28"/>
        </w:rPr>
      </w:pPr>
      <w:r>
        <w:rPr>
          <w:b/>
          <w:color w:val="000000"/>
          <w:sz w:val="28"/>
          <w:szCs w:val="28"/>
        </w:rPr>
        <w:t>Таблица 2.3-5. Сведения о фактических объемах стоков, принимаемых от потребителей, исходя из статистических данных, по группам потребителей</w:t>
      </w:r>
    </w:p>
    <w:tbl>
      <w:tblPr>
        <w:tblStyle w:val="100"/>
        <w:tblW w:w="102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846"/>
        <w:gridCol w:w="1134"/>
        <w:gridCol w:w="1984"/>
        <w:gridCol w:w="185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blHeader/>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sz w:val="22"/>
              </w:rPr>
            </w:pPr>
            <w:r>
              <w:rPr>
                <w:b/>
                <w:bCs/>
                <w:sz w:val="22"/>
              </w:rPr>
              <w:t>№</w:t>
            </w:r>
          </w:p>
          <w:p>
            <w:pPr>
              <w:jc w:val="center"/>
              <w:rPr>
                <w:b/>
                <w:bCs/>
                <w:sz w:val="22"/>
              </w:rPr>
            </w:pPr>
            <w:r>
              <w:rPr>
                <w:b/>
                <w:bCs/>
                <w:sz w:val="22"/>
              </w:rPr>
              <w:t>п/п</w:t>
            </w:r>
          </w:p>
        </w:tc>
        <w:tc>
          <w:tcPr>
            <w:tcW w:w="28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sz w:val="22"/>
              </w:rPr>
            </w:pPr>
            <w:r>
              <w:rPr>
                <w:b/>
                <w:bCs/>
                <w:sz w:val="22"/>
              </w:rPr>
              <w:t>Показатели</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Годовое,</w:t>
            </w:r>
          </w:p>
          <w:p>
            <w:pPr>
              <w:jc w:val="center"/>
              <w:rPr>
                <w:b/>
                <w:bCs/>
                <w:color w:val="000000"/>
                <w:sz w:val="22"/>
              </w:rPr>
            </w:pPr>
            <w:r>
              <w:rPr>
                <w:b/>
                <w:bCs/>
                <w:color w:val="000000"/>
                <w:sz w:val="22"/>
              </w:rPr>
              <w:t>тыс.м</w:t>
            </w:r>
            <w:r>
              <w:rPr>
                <w:b/>
                <w:bCs/>
                <w:color w:val="000000"/>
                <w:sz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Среднесуточное,</w:t>
            </w:r>
          </w:p>
          <w:p>
            <w:pPr>
              <w:jc w:val="center"/>
              <w:rPr>
                <w:b/>
                <w:bCs/>
                <w:color w:val="000000"/>
                <w:sz w:val="22"/>
              </w:rPr>
            </w:pPr>
            <w:r>
              <w:rPr>
                <w:b/>
                <w:bCs/>
                <w:color w:val="000000"/>
                <w:sz w:val="22"/>
              </w:rPr>
              <w:t>тыс.м</w:t>
            </w:r>
            <w:r>
              <w:rPr>
                <w:b/>
                <w:bCs/>
                <w:color w:val="000000"/>
                <w:sz w:val="22"/>
                <w:vertAlign w:val="superscript"/>
              </w:rPr>
              <w:t>3</w:t>
            </w:r>
            <w:r>
              <w:rPr>
                <w:b/>
                <w:bCs/>
                <w:color w:val="000000"/>
                <w:sz w:val="22"/>
              </w:rPr>
              <w:t>/сут</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Максимальное суточное, тыс.м</w:t>
            </w:r>
            <w:r>
              <w:rPr>
                <w:b/>
                <w:bCs/>
                <w:color w:val="000000"/>
                <w:sz w:val="22"/>
                <w:vertAlign w:val="superscript"/>
              </w:rPr>
              <w:t>3</w:t>
            </w:r>
            <w:r>
              <w:rPr>
                <w:b/>
                <w:bCs/>
                <w:color w:val="000000"/>
                <w:sz w:val="22"/>
              </w:rPr>
              <w:t>/сут</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 w:val="22"/>
              </w:rPr>
            </w:pPr>
            <w:r>
              <w:rPr>
                <w:b/>
                <w:bCs/>
                <w:color w:val="000000"/>
                <w:sz w:val="22"/>
              </w:rPr>
              <w:t>Максимально часовое, тыс.м</w:t>
            </w:r>
            <w:r>
              <w:rPr>
                <w:b/>
                <w:bCs/>
                <w:color w:val="000000"/>
                <w:sz w:val="22"/>
                <w:vertAlign w:val="superscript"/>
              </w:rPr>
              <w:t>3</w:t>
            </w:r>
            <w:r>
              <w:rPr>
                <w:b/>
                <w:bCs/>
                <w:color w:val="000000"/>
                <w:sz w:val="22"/>
              </w:rPr>
              <w:t>/ч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1</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Принято сточных вод - всего</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16458,65</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45,09</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54,11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rPr>
            </w:pPr>
            <w:r>
              <w:rPr>
                <w:color w:val="000000"/>
                <w:sz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2</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Население</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13009,34</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35,64</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42,77</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3</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Бюджетные организации</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1525,45</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4,18</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5,02</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4</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Промышленные предприятия</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1862,96</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5,10</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6,12</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5</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Прочие организации</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60,90</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0,17</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0,20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6</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Пропущено сточных вод через очистные сооружения</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2585,81</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7,08</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8,50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2"/>
              </w:rPr>
            </w:pPr>
            <w:r>
              <w:rPr>
                <w:sz w:val="22"/>
              </w:rPr>
              <w:t>7</w:t>
            </w:r>
          </w:p>
        </w:tc>
        <w:tc>
          <w:tcPr>
            <w:tcW w:w="2846"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Передано сточных вод другим канализациям или отдельным канализационным сетям</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sz w:val="22"/>
              </w:rPr>
              <w:t>13872,84</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2"/>
              </w:rPr>
            </w:pPr>
            <w:r>
              <w:rPr>
                <w:bCs/>
                <w:color w:val="000000"/>
                <w:sz w:val="22"/>
              </w:rPr>
              <w:t>38,01</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45,61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2"/>
              </w:rPr>
            </w:pPr>
            <w:r>
              <w:rPr>
                <w:bCs/>
                <w:color w:val="000000"/>
                <w:sz w:val="22"/>
              </w:rPr>
              <w:t>1,90</w:t>
            </w:r>
          </w:p>
        </w:tc>
      </w:tr>
    </w:tbl>
    <w:p>
      <w:pPr>
        <w:spacing w:line="360" w:lineRule="auto"/>
        <w:ind w:firstLine="567"/>
        <w:jc w:val="both"/>
        <w:rPr>
          <w:color w:val="000000"/>
          <w:sz w:val="28"/>
          <w:szCs w:val="28"/>
        </w:rPr>
      </w:pPr>
    </w:p>
    <w:p>
      <w:pPr>
        <w:spacing w:line="360" w:lineRule="auto"/>
        <w:ind w:firstLine="567"/>
        <w:jc w:val="both"/>
        <w:rPr>
          <w:color w:val="000000"/>
          <w:sz w:val="28"/>
          <w:szCs w:val="28"/>
        </w:rPr>
      </w:pPr>
      <w:r>
        <w:rPr>
          <w:color w:val="000000"/>
          <w:sz w:val="28"/>
          <w:szCs w:val="28"/>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100 %.</w:t>
      </w:r>
    </w:p>
    <w:p>
      <w:pPr>
        <w:spacing w:line="360" w:lineRule="auto"/>
        <w:ind w:firstLine="567"/>
        <w:jc w:val="both"/>
        <w:rPr>
          <w:color w:val="000000"/>
          <w:sz w:val="28"/>
          <w:szCs w:val="28"/>
        </w:rPr>
      </w:pPr>
      <w:r>
        <w:rPr>
          <w:color w:val="000000"/>
          <w:sz w:val="28"/>
          <w:szCs w:val="28"/>
        </w:rPr>
        <w:t>В системах водоотведения «ТУ Одинцово» существуют следующие проблемы:</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высокий коэффициент удельной аварийности сетей (0,9 ед/км). 17 км участков требуют замены;</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коллекторы работают с перегрузкой, имеют разрушения стыковых соединений, сужения, обратные уклоны, разрушения сводов из-за коррозии, провалы, выведенные из эксплуатации участки и требуют проведения мероприятий по реконструкции;</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не обеспечен прием дополнительного количества сточных вод от вновь вводимого в эксплуатацию жилья и районов перспективной застройки городов. АО «Мосводоканал» отказывает в приеме дополнительных стоков от объектов капитального строительства г. Одинцово в систему Московской канализации в виду отсутствия технической возможности;</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невозможность размещения на территории Одинцовского района собственных локальных очистных сооружений (60,0 тыс м3/сут) из-за отказа главного архитектора Одинцовского района;</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невозможно строительство еще двух напорных трубопроводов от проектируемой КНС в микрорайоне 9 до очистных сооружений в Ликино, в связи со стесненными условиями прохождения трассы;</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не выполняется программа по развитию сетей города: не ведется строительство сетей канализации, капитальный ремонт и реконструкция напорных и самотечных коллекторов ведется медленно и недостаточными объемами из-за отсутствия финансирования;</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коллекторы, транспортирующие сточные воды к основным КНС, работают с перегрузкой;</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 xml:space="preserve">не ведется строительство новой КНС в районе 9 из-за непосредственной близости от существующей застройки, от регулирующего узла водопроводной насос-ой станции, а также в водоохранной зоне прудов; </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высокий износ насосного оборудования и сооружений КНС;</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вследствие неудовлетворительного состояния основных коллекторов пропуская способность сетей канализации уменьшена на 10-20%, затруднена эксплуатация, ремонт, имеет место разрушение перемычек;</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в отдельных микрорайонах не развита сеть самотечных коллекторов для обеспечения приема стоков от абонентов;</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высокие энергозатраты, связанные с перекачкой сточных вод, из-за длительных сроков эксплуатации канализационных сетей и сооружений;</w:t>
      </w:r>
    </w:p>
    <w:p>
      <w:pPr>
        <w:spacing w:line="360" w:lineRule="auto"/>
        <w:ind w:left="567"/>
        <w:jc w:val="both"/>
        <w:rPr>
          <w:color w:val="000000"/>
          <w:sz w:val="28"/>
          <w:szCs w:val="28"/>
        </w:rPr>
      </w:pPr>
      <w:r>
        <w:rPr>
          <w:color w:val="000000"/>
          <w:sz w:val="28"/>
          <w:szCs w:val="28"/>
        </w:rPr>
        <w:t>-</w:t>
      </w:r>
      <w:r>
        <w:rPr>
          <w:color w:val="000000"/>
          <w:sz w:val="28"/>
          <w:szCs w:val="28"/>
        </w:rPr>
        <w:tab/>
      </w:r>
      <w:r>
        <w:rPr>
          <w:color w:val="000000"/>
          <w:sz w:val="28"/>
          <w:szCs w:val="28"/>
        </w:rPr>
        <w:t>отсутствует контроль за объемом сточных вод на КНС.</w:t>
      </w:r>
    </w:p>
    <w:p>
      <w:pPr>
        <w:spacing w:line="360" w:lineRule="auto"/>
        <w:jc w:val="both"/>
        <w:rPr>
          <w:color w:val="000000"/>
          <w:spacing w:val="-1"/>
          <w:sz w:val="28"/>
          <w:szCs w:val="28"/>
        </w:rPr>
      </w:pPr>
      <w:r>
        <w:rPr>
          <w:color w:val="000000"/>
          <w:sz w:val="28"/>
          <w:szCs w:val="28"/>
        </w:rPr>
        <w:t>Выбросы парниковых в процессе переработки сточных вод города в 2017 г. составили 2,61 тыс. тн СО</w:t>
      </w:r>
      <w:r>
        <w:rPr>
          <w:color w:val="000000"/>
          <w:sz w:val="28"/>
          <w:szCs w:val="28"/>
          <w:vertAlign w:val="subscript"/>
        </w:rPr>
        <w:t>2-экв.</w:t>
      </w:r>
      <w:r>
        <w:rPr>
          <w:color w:val="000000"/>
          <w:sz w:val="28"/>
          <w:szCs w:val="28"/>
        </w:rPr>
        <w:t xml:space="preserve"> Объемы выбросов напрямую зависят от объемов потребления белка (кг/чел.-год). Практически вся часть эмиссии приходится на выбросы закиси азота.</w:t>
      </w:r>
    </w:p>
    <w:p>
      <w:pPr>
        <w:spacing w:line="360" w:lineRule="auto"/>
        <w:ind w:firstLine="567"/>
        <w:jc w:val="both"/>
        <w:rPr>
          <w:color w:val="000000"/>
          <w:spacing w:val="-1"/>
          <w:sz w:val="28"/>
          <w:szCs w:val="28"/>
        </w:rPr>
        <w:sectPr>
          <w:pgSz w:w="11906" w:h="16838"/>
          <w:pgMar w:top="1134" w:right="1133" w:bottom="1134" w:left="1276" w:header="568" w:footer="708" w:gutter="0"/>
          <w:cols w:space="720" w:num="1"/>
          <w:formProt w:val="0"/>
          <w:titlePg/>
          <w:docGrid w:linePitch="360" w:charSpace="-6145"/>
        </w:sectPr>
      </w:pPr>
    </w:p>
    <w:p>
      <w:pPr>
        <w:pStyle w:val="3"/>
        <w:numPr>
          <w:ilvl w:val="1"/>
          <w:numId w:val="30"/>
        </w:numPr>
        <w:pBdr>
          <w:bottom w:val="single" w:color="auto" w:sz="4" w:space="1"/>
        </w:pBdr>
        <w:tabs>
          <w:tab w:val="left" w:pos="1276"/>
        </w:tabs>
        <w:spacing w:before="0" w:after="200"/>
        <w:rPr>
          <w:rFonts w:ascii="Times New Roman" w:hAnsi="Times New Roman"/>
          <w:i w:val="0"/>
          <w:color w:val="000000"/>
          <w:sz w:val="30"/>
          <w:szCs w:val="30"/>
        </w:rPr>
      </w:pPr>
      <w:bookmarkStart w:id="19" w:name="_Toc21015037"/>
      <w:r>
        <w:rPr>
          <w:rFonts w:ascii="Times New Roman" w:hAnsi="Times New Roman"/>
          <w:i w:val="0"/>
          <w:color w:val="000000"/>
          <w:sz w:val="30"/>
          <w:szCs w:val="30"/>
        </w:rPr>
        <w:t>Краткий анализ существующего состояния системы электроснабжения</w:t>
      </w:r>
      <w:bookmarkEnd w:id="19"/>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0" w:name="_Toc21015038"/>
      <w:r>
        <w:rPr>
          <w:rFonts w:ascii="Times New Roman" w:hAnsi="Times New Roman"/>
          <w:i w:val="0"/>
          <w:color w:val="000000"/>
          <w:sz w:val="30"/>
          <w:szCs w:val="30"/>
        </w:rPr>
        <w:t>Организационная структура</w:t>
      </w:r>
      <w:bookmarkEnd w:id="20"/>
    </w:p>
    <w:p>
      <w:pPr>
        <w:spacing w:line="360" w:lineRule="auto"/>
        <w:ind w:firstLine="708"/>
        <w:jc w:val="both"/>
        <w:rPr>
          <w:sz w:val="28"/>
          <w:szCs w:val="28"/>
        </w:rPr>
      </w:pPr>
      <w:r>
        <w:rPr>
          <w:rFonts w:eastAsia="Calibri"/>
          <w:sz w:val="28"/>
          <w:szCs w:val="28"/>
        </w:rPr>
        <w:t xml:space="preserve">  </w:t>
      </w:r>
      <w:r>
        <w:rPr>
          <w:sz w:val="28"/>
          <w:szCs w:val="28"/>
        </w:rPr>
        <w:t xml:space="preserve">Объекты электроэнергетики, расположенные в территориальном управлении Одинцово, относятся к энергосистеме Московской области, объединяющая энергосистемы г. Москвы и Московской области. Энергосистема Московской области находится в составе Энергетической системы Центра. </w:t>
      </w:r>
    </w:p>
    <w:p>
      <w:pPr>
        <w:spacing w:line="360" w:lineRule="auto"/>
        <w:ind w:firstLine="708"/>
        <w:jc w:val="both"/>
        <w:rPr>
          <w:sz w:val="28"/>
          <w:szCs w:val="28"/>
        </w:rPr>
      </w:pPr>
      <w:r>
        <w:rPr>
          <w:sz w:val="28"/>
          <w:szCs w:val="28"/>
        </w:rPr>
        <w:t xml:space="preserve">Режимом работы энергообъединения управляет Филиал АО «СО ЕЭС» </w:t>
      </w:r>
      <w:r>
        <w:fldChar w:fldCharType="begin"/>
      </w:r>
      <w:r>
        <w:instrText xml:space="preserve"> HYPERLINK "http://so-ups.ru/index.php?id=odu_center" \o "ОДУ Центра" </w:instrText>
      </w:r>
      <w:r>
        <w:fldChar w:fldCharType="separate"/>
      </w:r>
      <w:r>
        <w:rPr>
          <w:sz w:val="28"/>
          <w:szCs w:val="28"/>
        </w:rPr>
        <w:t>ОДУ Центра</w:t>
      </w:r>
      <w:r>
        <w:rPr>
          <w:sz w:val="28"/>
          <w:szCs w:val="28"/>
        </w:rPr>
        <w:fldChar w:fldCharType="end"/>
      </w:r>
      <w:r>
        <w:rPr>
          <w:sz w:val="28"/>
          <w:szCs w:val="28"/>
        </w:rPr>
        <w:t>.</w:t>
      </w:r>
    </w:p>
    <w:p>
      <w:pPr>
        <w:spacing w:line="360" w:lineRule="auto"/>
        <w:ind w:firstLine="708"/>
        <w:jc w:val="both"/>
        <w:rPr>
          <w:sz w:val="28"/>
          <w:szCs w:val="28"/>
        </w:rPr>
      </w:pPr>
      <w:r>
        <w:rPr>
          <w:sz w:val="28"/>
          <w:szCs w:val="28"/>
        </w:rPr>
        <w:t>Оперативно-диспетчерское управление энергосистемой Московской области осуществляет филиал ПАО «МОЭСК» - Западные электрические сети (Успенский РЭС).</w:t>
      </w:r>
    </w:p>
    <w:p>
      <w:pPr>
        <w:spacing w:line="360" w:lineRule="auto"/>
        <w:ind w:firstLine="708"/>
        <w:jc w:val="both"/>
        <w:rPr>
          <w:sz w:val="28"/>
          <w:szCs w:val="28"/>
        </w:rPr>
      </w:pPr>
      <w:r>
        <w:rPr>
          <w:sz w:val="28"/>
          <w:szCs w:val="28"/>
        </w:rPr>
        <w:t>Объекты генерации на территории ТУ Одинцово отсутствуют.</w:t>
      </w:r>
    </w:p>
    <w:p>
      <w:pPr>
        <w:spacing w:line="360" w:lineRule="auto"/>
        <w:ind w:firstLine="708"/>
        <w:jc w:val="both"/>
        <w:rPr>
          <w:i/>
          <w:color w:val="000000"/>
          <w:sz w:val="30"/>
          <w:szCs w:val="30"/>
        </w:rPr>
      </w:pPr>
      <w:r>
        <w:rPr>
          <w:rFonts w:eastAsia="TimesNewRoman"/>
          <w:sz w:val="28"/>
          <w:szCs w:val="28"/>
        </w:rPr>
        <w:t xml:space="preserve">Обеспечение электроэнергией потребителей </w:t>
      </w:r>
      <w:r>
        <w:rPr>
          <w:sz w:val="28"/>
          <w:szCs w:val="28"/>
        </w:rPr>
        <w:t xml:space="preserve">территориального управления Одинцово </w:t>
      </w:r>
      <w:r>
        <w:rPr>
          <w:rFonts w:eastAsia="TimesNewRoman"/>
          <w:sz w:val="28"/>
          <w:szCs w:val="28"/>
        </w:rPr>
        <w:t>Одинцовского городского округа Московской области осуществляется от 1-го</w:t>
      </w:r>
      <w:r>
        <w:rPr>
          <w:sz w:val="28"/>
          <w:szCs w:val="28"/>
        </w:rPr>
        <w:t xml:space="preserve"> </w:t>
      </w:r>
      <w:r>
        <w:rPr>
          <w:rFonts w:eastAsia="TimesNewRoman"/>
          <w:sz w:val="28"/>
          <w:szCs w:val="28"/>
        </w:rPr>
        <w:t xml:space="preserve">питающего центра, расположенного вне территории </w:t>
      </w:r>
      <w:r>
        <w:rPr>
          <w:sz w:val="28"/>
          <w:szCs w:val="28"/>
        </w:rPr>
        <w:t xml:space="preserve">Одинцово </w:t>
      </w:r>
      <w:r>
        <w:rPr>
          <w:rFonts w:eastAsia="TimesNewRoman"/>
          <w:sz w:val="28"/>
          <w:szCs w:val="28"/>
        </w:rPr>
        <w:t>и подведомственного ПАО «Московская объединенная электросетевая компания» Западные электрические сети», – электроподстанции напряжением 110 кВ ПС№ 782 «Мамоново».</w:t>
      </w: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1" w:name="_Toc21015039"/>
      <w:r>
        <w:rPr>
          <w:rFonts w:ascii="Times New Roman" w:hAnsi="Times New Roman"/>
          <w:i w:val="0"/>
          <w:color w:val="000000"/>
          <w:sz w:val="30"/>
          <w:szCs w:val="30"/>
        </w:rPr>
        <w:t>Анализ существующего технического состояния</w:t>
      </w:r>
      <w:bookmarkEnd w:id="21"/>
    </w:p>
    <w:p>
      <w:pPr>
        <w:autoSpaceDE w:val="0"/>
        <w:autoSpaceDN w:val="0"/>
        <w:adjustRightInd w:val="0"/>
        <w:spacing w:line="360" w:lineRule="auto"/>
        <w:ind w:firstLine="708"/>
        <w:jc w:val="both"/>
        <w:rPr>
          <w:rFonts w:eastAsia="TimesNewRoman"/>
          <w:b/>
          <w:bCs/>
          <w:sz w:val="28"/>
          <w:szCs w:val="28"/>
        </w:rPr>
      </w:pPr>
      <w:r>
        <w:rPr>
          <w:sz w:val="28"/>
          <w:szCs w:val="28"/>
        </w:rPr>
        <w:t xml:space="preserve"> </w:t>
      </w:r>
      <w:r>
        <w:rPr>
          <w:rFonts w:eastAsia="TimesNewRoman"/>
          <w:sz w:val="28"/>
          <w:szCs w:val="28"/>
        </w:rPr>
        <w:t xml:space="preserve">Характеристики питающего центра, обслуживающего потребителей </w:t>
      </w:r>
      <w:r>
        <w:rPr>
          <w:sz w:val="28"/>
          <w:szCs w:val="28"/>
        </w:rPr>
        <w:t xml:space="preserve">территориального управления Одинцово </w:t>
      </w:r>
      <w:r>
        <w:rPr>
          <w:rFonts w:eastAsia="TimesNewRoman"/>
          <w:sz w:val="28"/>
          <w:szCs w:val="28"/>
        </w:rPr>
        <w:t>представлены в таблице 2.4-1.</w:t>
      </w:r>
      <w:r>
        <w:rPr>
          <w:rFonts w:eastAsia="TimesNewRoman"/>
          <w:b/>
          <w:bCs/>
          <w:sz w:val="28"/>
          <w:szCs w:val="28"/>
        </w:rPr>
        <w:t xml:space="preserve"> </w:t>
      </w:r>
    </w:p>
    <w:p>
      <w:pPr>
        <w:rPr>
          <w:rFonts w:eastAsia="TimesNewRoman"/>
          <w:b/>
          <w:bCs/>
          <w:sz w:val="28"/>
          <w:szCs w:val="28"/>
        </w:rPr>
      </w:pPr>
      <w:r>
        <w:rPr>
          <w:rFonts w:eastAsia="TimesNewRoman"/>
          <w:b/>
          <w:bCs/>
          <w:sz w:val="28"/>
          <w:szCs w:val="28"/>
        </w:rPr>
        <w:br w:type="page"/>
      </w:r>
    </w:p>
    <w:p>
      <w:pPr>
        <w:autoSpaceDE w:val="0"/>
        <w:autoSpaceDN w:val="0"/>
        <w:adjustRightInd w:val="0"/>
        <w:spacing w:line="360" w:lineRule="auto"/>
        <w:jc w:val="both"/>
        <w:rPr>
          <w:rFonts w:eastAsia="TimesNewRoman"/>
          <w:b/>
          <w:bCs/>
          <w:sz w:val="28"/>
          <w:szCs w:val="28"/>
        </w:rPr>
      </w:pPr>
      <w:r>
        <w:rPr>
          <w:rFonts w:eastAsia="TimesNewRoman"/>
          <w:b/>
          <w:bCs/>
          <w:sz w:val="28"/>
          <w:szCs w:val="28"/>
        </w:rPr>
        <w:t>Таблица 2.4-1. Основные характеристики питающего центра ТУ Одинцово</w:t>
      </w:r>
    </w:p>
    <w:p>
      <w:pPr>
        <w:widowControl w:val="0"/>
        <w:spacing w:line="360" w:lineRule="auto"/>
        <w:jc w:val="both"/>
        <w:rPr>
          <w:sz w:val="28"/>
          <w:szCs w:val="28"/>
          <w:lang w:eastAsia="en-US"/>
        </w:rPr>
      </w:pPr>
      <w:r>
        <w:rPr>
          <w:sz w:val="28"/>
          <w:szCs w:val="28"/>
        </w:rPr>
        <w:drawing>
          <wp:inline distT="0" distB="0" distL="0" distR="0">
            <wp:extent cx="5760720" cy="1520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6"/>
                    <a:srcRect b="25151"/>
                    <a:stretch>
                      <a:fillRect/>
                    </a:stretch>
                  </pic:blipFill>
                  <pic:spPr>
                    <a:xfrm>
                      <a:off x="0" y="0"/>
                      <a:ext cx="5760720" cy="1520456"/>
                    </a:xfrm>
                    <a:prstGeom prst="rect">
                      <a:avLst/>
                    </a:prstGeom>
                    <a:ln>
                      <a:noFill/>
                    </a:ln>
                  </pic:spPr>
                </pic:pic>
              </a:graphicData>
            </a:graphic>
          </wp:inline>
        </w:drawing>
      </w:r>
    </w:p>
    <w:p>
      <w:pPr>
        <w:autoSpaceDE w:val="0"/>
        <w:autoSpaceDN w:val="0"/>
        <w:adjustRightInd w:val="0"/>
        <w:spacing w:line="360" w:lineRule="auto"/>
        <w:ind w:firstLine="567"/>
        <w:jc w:val="both"/>
        <w:rPr>
          <w:rFonts w:eastAsia="TimesNewRoman"/>
          <w:sz w:val="28"/>
          <w:szCs w:val="28"/>
        </w:rPr>
      </w:pPr>
      <w:r>
        <w:rPr>
          <w:rFonts w:eastAsia="TimesNewRoman"/>
          <w:sz w:val="28"/>
          <w:szCs w:val="28"/>
        </w:rPr>
        <w:t xml:space="preserve">В границах рассматриваемой территории ключевые параметры системы электроснабжения представлены в таблице 2.4-2.  </w:t>
      </w:r>
    </w:p>
    <w:p>
      <w:pPr>
        <w:autoSpaceDE w:val="0"/>
        <w:autoSpaceDN w:val="0"/>
        <w:adjustRightInd w:val="0"/>
        <w:spacing w:line="360" w:lineRule="auto"/>
        <w:jc w:val="both"/>
        <w:rPr>
          <w:rFonts w:eastAsia="TimesNewRoman"/>
          <w:b/>
          <w:bCs/>
          <w:sz w:val="28"/>
          <w:szCs w:val="28"/>
        </w:rPr>
      </w:pPr>
      <w:r>
        <w:rPr>
          <w:rFonts w:eastAsia="TimesNewRoman"/>
          <w:b/>
          <w:bCs/>
          <w:sz w:val="28"/>
          <w:szCs w:val="28"/>
        </w:rPr>
        <w:t>Таблица 2.4-2. Основные характеристики системы электроснабжения ТУ Одинцово</w:t>
      </w:r>
    </w:p>
    <w:tbl>
      <w:tblPr>
        <w:tblStyle w:val="100"/>
        <w:tblW w:w="9051"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71"/>
        <w:gridCol w:w="1450"/>
        <w:gridCol w:w="19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Фактический отпуск электроэнергии</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eastAsia="en-US" w:bidi="en-US"/>
              </w:rPr>
              <w:t>млн.кВт.ч</w:t>
            </w:r>
          </w:p>
        </w:tc>
        <w:tc>
          <w:tcPr>
            <w:tcW w:w="193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1270,8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Протяженность линий электропередач</w:t>
            </w:r>
          </w:p>
        </w:tc>
        <w:tc>
          <w:tcPr>
            <w:tcW w:w="1450" w:type="dxa"/>
            <w:tcBorders>
              <w:top w:val="single" w:color="auto" w:sz="8" w:space="0"/>
              <w:left w:val="single" w:color="auto" w:sz="8" w:space="0"/>
              <w:bottom w:val="single" w:color="auto" w:sz="8" w:space="0"/>
              <w:right w:val="single" w:color="auto" w:sz="8" w:space="0"/>
            </w:tcBorders>
            <w:vAlign w:val="center"/>
          </w:tcPr>
          <w:p>
            <w:pPr>
              <w:rPr>
                <w:color w:val="000000"/>
                <w:sz w:val="20"/>
                <w:szCs w:val="20"/>
                <w:lang w:val="en-US" w:eastAsia="en-US" w:bidi="en-US"/>
              </w:rPr>
            </w:pPr>
          </w:p>
        </w:tc>
        <w:tc>
          <w:tcPr>
            <w:tcW w:w="193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rPr>
                <w:rFonts w:asciiTheme="minorHAnsi" w:hAnsiTheme="minorHAnsi" w:eastAsiaTheme="minorHAnsi" w:cstheme="minorBidi"/>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35 кВ</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93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110 кВ</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93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40,9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220 кВ</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93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25,3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500 и 750 кВ</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93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5" w:hRule="atLeast"/>
        </w:trPr>
        <w:tc>
          <w:tcPr>
            <w:tcW w:w="5671"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eastAsia="en-US" w:bidi="en-US"/>
              </w:rPr>
            </w:pPr>
            <w:r>
              <w:rPr>
                <w:color w:val="000000"/>
                <w:sz w:val="20"/>
                <w:szCs w:val="20"/>
                <w:lang w:eastAsia="en-US" w:bidi="en-US"/>
              </w:rPr>
              <w:t>Суммарная установленная трансформаторная мощность центров питания</w:t>
            </w:r>
          </w:p>
        </w:tc>
        <w:tc>
          <w:tcPr>
            <w:tcW w:w="145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МВА</w:t>
            </w:r>
          </w:p>
        </w:tc>
        <w:tc>
          <w:tcPr>
            <w:tcW w:w="1930"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646</w:t>
            </w:r>
          </w:p>
        </w:tc>
      </w:tr>
    </w:tbl>
    <w:p>
      <w:pPr>
        <w:autoSpaceDE w:val="0"/>
        <w:autoSpaceDN w:val="0"/>
        <w:adjustRightInd w:val="0"/>
        <w:spacing w:line="360" w:lineRule="auto"/>
        <w:ind w:firstLine="567"/>
        <w:jc w:val="both"/>
        <w:rPr>
          <w:rFonts w:eastAsia="TimesNewRoman"/>
          <w:sz w:val="28"/>
          <w:szCs w:val="28"/>
        </w:rPr>
      </w:pPr>
    </w:p>
    <w:p>
      <w:pPr>
        <w:autoSpaceDE w:val="0"/>
        <w:autoSpaceDN w:val="0"/>
        <w:adjustRightInd w:val="0"/>
        <w:spacing w:line="360" w:lineRule="auto"/>
        <w:ind w:firstLine="567"/>
        <w:jc w:val="both"/>
        <w:rPr>
          <w:rFonts w:eastAsia="TimesNewRoman"/>
          <w:sz w:val="28"/>
          <w:szCs w:val="28"/>
        </w:rPr>
      </w:pPr>
      <w:r>
        <w:rPr>
          <w:rFonts w:eastAsia="TimesNewRoman"/>
          <w:sz w:val="28"/>
          <w:szCs w:val="28"/>
        </w:rPr>
        <w:t xml:space="preserve">Охранная зона КВЛ 220,500 кВ в разных сечениях составляет 12,5-13,0м. </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Кроме того, по всей территории Одинцово проходят воздушные и кабельные линии электропередачи напряжением 6-10 кВ.</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Для кабельных ЛЭП - в виде части поверхности участка земли, расположенного под ней участка недр (на глубину, соответствующую глубине прокладки кабельных ЛЭП), ограниченной параллельными вертикальными плоскостями, отстоящими по обе стороны ЛЭП от крайних кабелей на расстоянии 1 м.</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По данным ПАО «МОЭСК» по замерам режимного дня зимнего максимума нагрузки ЛЭП с перегрузкой на территории ТУ Одинцово не выявлены.</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Годовое электропотребление территориального Одинцово оценивается на уровне 1270,8 млн.кВтч.</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Электроснабжение потребителей жилищно-коммунального сектора осуществляется на напряжении 0,4 кВ преимущественно через распределительные сети 6-10/0,4.</w:t>
      </w:r>
    </w:p>
    <w:p>
      <w:pPr>
        <w:autoSpaceDE w:val="0"/>
        <w:autoSpaceDN w:val="0"/>
        <w:adjustRightInd w:val="0"/>
        <w:spacing w:line="360" w:lineRule="auto"/>
        <w:ind w:firstLine="567"/>
        <w:jc w:val="both"/>
        <w:rPr>
          <w:rFonts w:eastAsia="TimesNewRoman"/>
          <w:sz w:val="28"/>
          <w:szCs w:val="28"/>
        </w:rPr>
      </w:pPr>
      <w:r>
        <w:rPr>
          <w:rFonts w:eastAsia="TimesNewRoman"/>
          <w:sz w:val="28"/>
          <w:szCs w:val="28"/>
        </w:rPr>
        <w:t>Потребность в электроэнергетических ресурсах для планируемого освоения территории определена в соответствии с «Инструкцией по проектированию городских электрических сетей» РД 34.20.185-94, с учётом изменений и дополнений, утверждённых приказом Минтопэнерго РФ №213 от 29.06.99 г, по укрупненным удельным показателям,приведённым к шинам трансформаторных подстанций 6(10)/0,4 кВ</w:t>
      </w:r>
    </w:p>
    <w:p>
      <w:pPr>
        <w:autoSpaceDE w:val="0"/>
        <w:autoSpaceDN w:val="0"/>
        <w:adjustRightInd w:val="0"/>
        <w:spacing w:line="360" w:lineRule="auto"/>
        <w:ind w:firstLine="708"/>
        <w:jc w:val="both"/>
        <w:rPr>
          <w:rFonts w:eastAsia="TimesNewRoman"/>
          <w:sz w:val="28"/>
          <w:szCs w:val="28"/>
        </w:rPr>
      </w:pPr>
      <w:r>
        <w:rPr>
          <w:rFonts w:eastAsia="TimesNewRoman"/>
          <w:sz w:val="28"/>
          <w:szCs w:val="28"/>
        </w:rPr>
        <w:t>Укрупнённые удельные показатели жилищно-коммунального сектора учитывают жилые здания, коммунальные предприятия, транспорт и наружное освещение, возможность использования электрических плит для пищеприготовления.</w:t>
      </w:r>
    </w:p>
    <w:p>
      <w:pPr>
        <w:autoSpaceDE w:val="0"/>
        <w:autoSpaceDN w:val="0"/>
        <w:adjustRightInd w:val="0"/>
        <w:spacing w:line="360" w:lineRule="auto"/>
        <w:ind w:firstLine="708"/>
        <w:jc w:val="both"/>
        <w:rPr>
          <w:rFonts w:eastAsia="TimesNewRoman"/>
          <w:sz w:val="28"/>
          <w:szCs w:val="28"/>
        </w:rPr>
      </w:pPr>
      <w:r>
        <w:rPr>
          <w:rFonts w:eastAsia="TimesNewRoman"/>
          <w:sz w:val="28"/>
          <w:szCs w:val="28"/>
        </w:rPr>
        <w:t>Результаты расчётов потребности в электроэнергетических ресурсах для планируемого развития территории с учетом существующих потребителей представлены в таблице 2.4-3.</w:t>
      </w:r>
    </w:p>
    <w:p>
      <w:pPr>
        <w:autoSpaceDE w:val="0"/>
        <w:autoSpaceDN w:val="0"/>
        <w:adjustRightInd w:val="0"/>
        <w:spacing w:line="360" w:lineRule="auto"/>
        <w:jc w:val="both"/>
        <w:rPr>
          <w:rFonts w:eastAsia="TimesNewRoman"/>
          <w:b/>
          <w:bCs/>
          <w:sz w:val="28"/>
          <w:szCs w:val="28"/>
        </w:rPr>
      </w:pPr>
      <w:r>
        <w:rPr>
          <w:rFonts w:eastAsia="TimesNewRoman"/>
          <w:b/>
          <w:bCs/>
          <w:sz w:val="28"/>
          <w:szCs w:val="28"/>
        </w:rPr>
        <w:t>Таблица 2.4-3. Оценка потребности в нагрузке, мощности и потреблении электрической энергии территориального управления Одинцово для планируемого развития территории</w:t>
      </w:r>
    </w:p>
    <w:tbl>
      <w:tblPr>
        <w:tblStyle w:val="100"/>
        <w:tblW w:w="9051"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083"/>
        <w:gridCol w:w="1068"/>
        <w:gridCol w:w="1384"/>
        <w:gridCol w:w="1219"/>
        <w:gridCol w:w="12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shd w:val="clear" w:color="auto" w:fill="F2F2F2"/>
            <w:vAlign w:val="center"/>
          </w:tcPr>
          <w:p>
            <w:pPr>
              <w:spacing w:line="276" w:lineRule="auto"/>
              <w:rPr>
                <w:b/>
                <w:bCs/>
                <w:i/>
                <w:iCs/>
                <w:color w:val="000000"/>
                <w:sz w:val="20"/>
                <w:szCs w:val="20"/>
                <w:lang w:eastAsia="en-US" w:bidi="en-US"/>
              </w:rPr>
            </w:pPr>
          </w:p>
        </w:tc>
        <w:tc>
          <w:tcPr>
            <w:tcW w:w="1068" w:type="dxa"/>
            <w:tcBorders>
              <w:top w:val="single" w:color="auto" w:sz="8" w:space="0"/>
              <w:left w:val="single" w:color="auto" w:sz="8" w:space="0"/>
              <w:bottom w:val="single" w:color="auto" w:sz="8" w:space="0"/>
              <w:right w:val="single" w:color="auto" w:sz="8" w:space="0"/>
            </w:tcBorders>
            <w:shd w:val="clear" w:color="auto" w:fill="F2F2F2"/>
            <w:vAlign w:val="center"/>
          </w:tcPr>
          <w:p>
            <w:pPr>
              <w:rPr>
                <w:b/>
                <w:bCs/>
                <w:i/>
                <w:iCs/>
                <w:color w:val="000000"/>
                <w:sz w:val="20"/>
                <w:szCs w:val="20"/>
                <w:lang w:eastAsia="en-US" w:bidi="en-US"/>
              </w:rPr>
            </w:pPr>
          </w:p>
        </w:tc>
        <w:tc>
          <w:tcPr>
            <w:tcW w:w="1384" w:type="dxa"/>
            <w:tcBorders>
              <w:top w:val="single" w:color="auto" w:sz="8" w:space="0"/>
              <w:left w:val="single" w:color="auto" w:sz="8" w:space="0"/>
              <w:bottom w:val="single" w:color="auto" w:sz="8" w:space="0"/>
              <w:right w:val="single" w:color="auto" w:sz="8" w:space="0"/>
            </w:tcBorders>
            <w:shd w:val="clear" w:color="auto" w:fill="F2F2F2"/>
            <w:vAlign w:val="center"/>
          </w:tcPr>
          <w:p>
            <w:pPr>
              <w:spacing w:line="276" w:lineRule="auto"/>
              <w:jc w:val="center"/>
              <w:rPr>
                <w:rFonts w:eastAsiaTheme="minorHAnsi"/>
                <w:sz w:val="20"/>
                <w:szCs w:val="20"/>
              </w:rPr>
            </w:pPr>
            <w:r>
              <w:rPr>
                <w:rFonts w:eastAsiaTheme="minorHAnsi"/>
                <w:sz w:val="20"/>
                <w:szCs w:val="20"/>
              </w:rPr>
              <w:t>2018г.</w:t>
            </w:r>
          </w:p>
        </w:tc>
        <w:tc>
          <w:tcPr>
            <w:tcW w:w="1219" w:type="dxa"/>
            <w:tcBorders>
              <w:top w:val="single" w:color="auto" w:sz="8" w:space="0"/>
              <w:left w:val="single" w:color="auto" w:sz="8" w:space="0"/>
              <w:bottom w:val="single" w:color="auto" w:sz="8" w:space="0"/>
              <w:right w:val="single" w:color="auto" w:sz="8" w:space="0"/>
            </w:tcBorders>
            <w:shd w:val="clear" w:color="auto" w:fill="F2F2F2"/>
            <w:vAlign w:val="center"/>
          </w:tcPr>
          <w:p>
            <w:pPr>
              <w:spacing w:line="276" w:lineRule="auto"/>
              <w:jc w:val="center"/>
              <w:rPr>
                <w:rFonts w:asciiTheme="minorHAnsi" w:hAnsiTheme="minorHAnsi" w:eastAsiaTheme="minorHAnsi" w:cstheme="minorBidi"/>
                <w:sz w:val="20"/>
                <w:szCs w:val="20"/>
              </w:rPr>
            </w:pPr>
            <w:r>
              <w:rPr>
                <w:rFonts w:eastAsiaTheme="minorHAnsi"/>
                <w:sz w:val="20"/>
                <w:szCs w:val="20"/>
              </w:rPr>
              <w:t>2022г.</w:t>
            </w:r>
          </w:p>
        </w:tc>
        <w:tc>
          <w:tcPr>
            <w:tcW w:w="1297" w:type="dxa"/>
            <w:tcBorders>
              <w:top w:val="single" w:color="auto" w:sz="8" w:space="0"/>
              <w:left w:val="single" w:color="auto" w:sz="8" w:space="0"/>
              <w:bottom w:val="single" w:color="auto" w:sz="8" w:space="0"/>
              <w:right w:val="single" w:color="auto" w:sz="8" w:space="0"/>
            </w:tcBorders>
            <w:shd w:val="clear" w:color="auto" w:fill="F2F2F2"/>
            <w:vAlign w:val="center"/>
          </w:tcPr>
          <w:p>
            <w:pPr>
              <w:spacing w:line="276" w:lineRule="auto"/>
              <w:jc w:val="center"/>
              <w:rPr>
                <w:rFonts w:asciiTheme="minorHAnsi" w:hAnsiTheme="minorHAnsi" w:eastAsiaTheme="minorHAnsi" w:cstheme="minorBidi"/>
                <w:sz w:val="20"/>
                <w:szCs w:val="20"/>
              </w:rPr>
            </w:pPr>
            <w:r>
              <w:rPr>
                <w:rFonts w:eastAsiaTheme="minorHAnsi"/>
                <w:sz w:val="20"/>
                <w:szCs w:val="20"/>
              </w:rPr>
              <w:t>2036г.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Фактический отпуск электроэнергии</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eastAsia="en-US" w:bidi="en-US"/>
              </w:rPr>
              <w:t>млн.кВт.ч</w:t>
            </w:r>
          </w:p>
        </w:tc>
        <w:tc>
          <w:tcPr>
            <w:tcW w:w="1384"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1270,8</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1837,8</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1967,4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Протяженность линий электропередач</w:t>
            </w:r>
          </w:p>
        </w:tc>
        <w:tc>
          <w:tcPr>
            <w:tcW w:w="1068" w:type="dxa"/>
            <w:tcBorders>
              <w:top w:val="single" w:color="auto" w:sz="8" w:space="0"/>
              <w:left w:val="single" w:color="auto" w:sz="8" w:space="0"/>
              <w:bottom w:val="single" w:color="auto" w:sz="8" w:space="0"/>
              <w:right w:val="single" w:color="auto" w:sz="8" w:space="0"/>
            </w:tcBorders>
            <w:vAlign w:val="center"/>
          </w:tcPr>
          <w:p>
            <w:pPr>
              <w:rPr>
                <w:color w:val="000000"/>
                <w:sz w:val="20"/>
                <w:szCs w:val="20"/>
                <w:lang w:val="en-US" w:eastAsia="en-US" w:bidi="en-US"/>
              </w:rPr>
            </w:pPr>
          </w:p>
        </w:tc>
        <w:tc>
          <w:tcPr>
            <w:tcW w:w="1384"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rPr>
                <w:rFonts w:asciiTheme="minorHAnsi" w:hAnsiTheme="minorHAnsi" w:eastAsiaTheme="minorHAnsi" w:cstheme="minorBidi"/>
                <w:sz w:val="20"/>
                <w:szCs w:val="20"/>
              </w:rPr>
            </w:pP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rPr>
                <w:rFonts w:asciiTheme="minorHAnsi" w:hAnsiTheme="minorHAnsi" w:eastAsiaTheme="minorHAnsi" w:cstheme="minorBidi"/>
                <w:sz w:val="20"/>
                <w:szCs w:val="20"/>
              </w:rPr>
            </w:pP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rPr>
                <w:rFonts w:asciiTheme="minorHAnsi" w:hAnsiTheme="minorHAnsi" w:eastAsiaTheme="minorHAnsi" w:cstheme="minorBidi"/>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35 кВ</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384"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14,8</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eastAsia="en-US" w:bidi="en-US"/>
              </w:rPr>
              <w:t>14,8</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eastAsia="en-US" w:bidi="en-US"/>
              </w:rPr>
              <w:t>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110 кВ</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384"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40,9</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40,9</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40,9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220 кВ</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384"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25,3</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25,3</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25,3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val="en-US" w:eastAsia="en-US" w:bidi="en-US"/>
              </w:rPr>
            </w:pPr>
            <w:r>
              <w:rPr>
                <w:color w:val="000000"/>
                <w:sz w:val="20"/>
                <w:szCs w:val="20"/>
                <w:lang w:val="en-US" w:eastAsia="en-US" w:bidi="en-US"/>
              </w:rPr>
              <w:t>ЛЭП 500 и 750 кВ</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км</w:t>
            </w:r>
          </w:p>
        </w:tc>
        <w:tc>
          <w:tcPr>
            <w:tcW w:w="1384"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76" w:lineRule="auto"/>
              <w:jc w:val="center"/>
              <w:rPr>
                <w:color w:val="000000"/>
                <w:sz w:val="20"/>
                <w:szCs w:val="20"/>
                <w:lang w:eastAsia="en-US" w:bidi="en-US"/>
              </w:rPr>
            </w:pPr>
            <w:r>
              <w:rPr>
                <w:color w:val="000000"/>
                <w:sz w:val="20"/>
                <w:szCs w:val="20"/>
                <w:lang w:eastAsia="en-US" w:bidi="en-US"/>
              </w:rPr>
              <w:t>7,5</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7,5</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5" w:hRule="atLeast"/>
        </w:trPr>
        <w:tc>
          <w:tcPr>
            <w:tcW w:w="4083" w:type="dxa"/>
            <w:tcBorders>
              <w:top w:val="single" w:color="auto" w:sz="8" w:space="0"/>
              <w:left w:val="single" w:color="auto" w:sz="8" w:space="0"/>
              <w:bottom w:val="single" w:color="auto" w:sz="8" w:space="0"/>
              <w:right w:val="single" w:color="auto" w:sz="8" w:space="0"/>
            </w:tcBorders>
            <w:vAlign w:val="center"/>
          </w:tcPr>
          <w:p>
            <w:pPr>
              <w:spacing w:line="276" w:lineRule="auto"/>
              <w:rPr>
                <w:color w:val="000000"/>
                <w:sz w:val="20"/>
                <w:szCs w:val="20"/>
                <w:lang w:eastAsia="en-US" w:bidi="en-US"/>
              </w:rPr>
            </w:pPr>
            <w:r>
              <w:rPr>
                <w:color w:val="000000"/>
                <w:sz w:val="20"/>
                <w:szCs w:val="20"/>
                <w:lang w:eastAsia="en-US" w:bidi="en-US"/>
              </w:rPr>
              <w:t>Суммарная установленная трансформаторная мощность центров питания</w:t>
            </w:r>
          </w:p>
        </w:tc>
        <w:tc>
          <w:tcPr>
            <w:tcW w:w="1068"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val="en-US" w:eastAsia="en-US" w:bidi="en-US"/>
              </w:rPr>
            </w:pPr>
            <w:r>
              <w:rPr>
                <w:color w:val="000000"/>
                <w:sz w:val="20"/>
                <w:szCs w:val="20"/>
                <w:lang w:val="en-US" w:eastAsia="en-US" w:bidi="en-US"/>
              </w:rPr>
              <w:t>МВА</w:t>
            </w:r>
          </w:p>
        </w:tc>
        <w:tc>
          <w:tcPr>
            <w:tcW w:w="1384"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646</w:t>
            </w:r>
          </w:p>
        </w:tc>
        <w:tc>
          <w:tcPr>
            <w:tcW w:w="1219"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646</w:t>
            </w:r>
          </w:p>
        </w:tc>
        <w:tc>
          <w:tcPr>
            <w:tcW w:w="1297" w:type="dxa"/>
            <w:tcBorders>
              <w:top w:val="single" w:color="auto" w:sz="8" w:space="0"/>
              <w:left w:val="single" w:color="auto" w:sz="8" w:space="0"/>
              <w:bottom w:val="single" w:color="auto" w:sz="8" w:space="0"/>
              <w:right w:val="single" w:color="auto" w:sz="8" w:space="0"/>
            </w:tcBorders>
            <w:vAlign w:val="center"/>
          </w:tcPr>
          <w:p>
            <w:pPr>
              <w:spacing w:line="276" w:lineRule="auto"/>
              <w:jc w:val="center"/>
              <w:rPr>
                <w:color w:val="000000"/>
                <w:sz w:val="20"/>
                <w:szCs w:val="20"/>
                <w:lang w:eastAsia="en-US" w:bidi="en-US"/>
              </w:rPr>
            </w:pPr>
            <w:r>
              <w:rPr>
                <w:color w:val="000000"/>
                <w:sz w:val="20"/>
                <w:szCs w:val="20"/>
                <w:lang w:eastAsia="en-US" w:bidi="en-US"/>
              </w:rPr>
              <w:t>646</w:t>
            </w:r>
          </w:p>
        </w:tc>
      </w:tr>
    </w:tbl>
    <w:p>
      <w:pPr>
        <w:autoSpaceDE w:val="0"/>
        <w:autoSpaceDN w:val="0"/>
        <w:adjustRightInd w:val="0"/>
        <w:spacing w:line="360" w:lineRule="auto"/>
        <w:ind w:firstLine="708"/>
        <w:jc w:val="both"/>
        <w:rPr>
          <w:rFonts w:eastAsia="TimesNewRoman"/>
          <w:sz w:val="28"/>
          <w:szCs w:val="28"/>
        </w:rPr>
      </w:pPr>
      <w:r>
        <w:rPr>
          <w:rFonts w:eastAsia="TimesNewRoman"/>
          <w:sz w:val="28"/>
          <w:szCs w:val="28"/>
        </w:rPr>
        <w:t>Потребность в электроэнергетических ресурсах для существующих объектов хозяйственной деятельности определена экспертно, в соответствии с РД 34.20.185-94 – в объёме 30-60% от электрической нагрузки жилищно-коммунального сектора.</w:t>
      </w:r>
    </w:p>
    <w:p>
      <w:pPr>
        <w:autoSpaceDE w:val="0"/>
        <w:autoSpaceDN w:val="0"/>
        <w:adjustRightInd w:val="0"/>
        <w:spacing w:line="360" w:lineRule="auto"/>
        <w:ind w:firstLine="708"/>
        <w:jc w:val="both"/>
        <w:rPr>
          <w:rFonts w:eastAsia="TimesNewRoman"/>
          <w:sz w:val="28"/>
          <w:szCs w:val="28"/>
        </w:rPr>
      </w:pPr>
      <w:r>
        <w:rPr>
          <w:rFonts w:eastAsia="TimesNewRoman"/>
          <w:sz w:val="28"/>
          <w:szCs w:val="28"/>
        </w:rPr>
        <w:t>Для планируемых объектов хозяйственной деятельности и общественно-деловых зон применены удельные технико-экономические показатели проектов-аналогов, разработанных и утвержденных на момент подготовки ПКР.</w:t>
      </w:r>
    </w:p>
    <w:p>
      <w:pPr>
        <w:autoSpaceDE w:val="0"/>
        <w:autoSpaceDN w:val="0"/>
        <w:adjustRightInd w:val="0"/>
        <w:spacing w:line="360" w:lineRule="auto"/>
        <w:ind w:firstLine="708"/>
        <w:jc w:val="both"/>
        <w:rPr>
          <w:rFonts w:eastAsia="TimesNewRoman"/>
          <w:sz w:val="28"/>
          <w:szCs w:val="28"/>
        </w:rPr>
      </w:pPr>
      <w:r>
        <w:rPr>
          <w:rFonts w:eastAsia="TimesNewRoman"/>
          <w:sz w:val="28"/>
          <w:szCs w:val="28"/>
        </w:rPr>
        <w:t>Для определения суммарной потребности в электроэнергетических ресурсах, в целом по ТУ Одинцово, применен коэффициент разновременности максимумов kp,м (именуемый также коэффициентом несовпадения максимумов нагрузки потребителей или коэффициентом одновременности). Этот коэффициент принят равным 0,8.</w:t>
      </w:r>
    </w:p>
    <w:p>
      <w:pPr>
        <w:pStyle w:val="168"/>
        <w:spacing w:line="360" w:lineRule="auto"/>
        <w:ind w:firstLine="708"/>
        <w:rPr>
          <w:sz w:val="28"/>
          <w:szCs w:val="28"/>
        </w:rPr>
      </w:pPr>
      <w:r>
        <w:rPr>
          <w:rFonts w:eastAsia="TimesNewRoman"/>
          <w:sz w:val="28"/>
          <w:szCs w:val="28"/>
        </w:rPr>
        <w:t xml:space="preserve">Оценочные расчёты показывают, что в целом по базовому сценарию развития при условии освоения территории в объеме, планируемом на расчётный срок, </w:t>
      </w:r>
      <w:r>
        <w:rPr>
          <w:rFonts w:eastAsia="TimesNewRoman"/>
          <w:bCs/>
          <w:sz w:val="28"/>
          <w:szCs w:val="28"/>
        </w:rPr>
        <w:t>территориальному управлению Одинцорво</w:t>
      </w:r>
      <w:r>
        <w:rPr>
          <w:rFonts w:eastAsia="TimesNewRoman"/>
          <w:sz w:val="28"/>
          <w:szCs w:val="28"/>
        </w:rPr>
        <w:t xml:space="preserve"> с учётом существующей застройки не потребуется дополнительной электрической мощности.</w:t>
      </w:r>
    </w:p>
    <w:p>
      <w:pPr>
        <w:pStyle w:val="168"/>
        <w:spacing w:line="360" w:lineRule="auto"/>
        <w:ind w:firstLine="708"/>
        <w:rPr>
          <w:sz w:val="28"/>
          <w:szCs w:val="28"/>
        </w:rPr>
      </w:pP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2" w:name="_Toc21015040"/>
      <w:r>
        <w:rPr>
          <w:rFonts w:ascii="Times New Roman" w:hAnsi="Times New Roman"/>
          <w:i w:val="0"/>
          <w:color w:val="000000"/>
          <w:sz w:val="30"/>
          <w:szCs w:val="30"/>
        </w:rPr>
        <w:t>Анализ финасового состояния</w:t>
      </w:r>
      <w:bookmarkEnd w:id="22"/>
    </w:p>
    <w:p>
      <w:pPr>
        <w:autoSpaceDE w:val="0"/>
        <w:autoSpaceDN w:val="0"/>
        <w:adjustRightInd w:val="0"/>
        <w:spacing w:line="360" w:lineRule="auto"/>
        <w:ind w:firstLine="567"/>
        <w:jc w:val="both"/>
        <w:rPr>
          <w:color w:val="000000"/>
          <w:sz w:val="28"/>
          <w:szCs w:val="28"/>
        </w:rPr>
      </w:pPr>
      <w:r>
        <w:rPr>
          <w:color w:val="000000"/>
          <w:sz w:val="28"/>
          <w:szCs w:val="28"/>
        </w:rPr>
        <w:t xml:space="preserve"> В связи с образованием в 2019 г. </w:t>
      </w:r>
      <w:r>
        <w:rPr>
          <w:sz w:val="28"/>
          <w:szCs w:val="28"/>
          <w:lang w:bidi="en-US"/>
        </w:rPr>
        <w:t>территориального управления Одинцово</w:t>
      </w:r>
      <w:r>
        <w:rPr>
          <w:color w:val="000000"/>
          <w:sz w:val="28"/>
          <w:szCs w:val="28"/>
        </w:rPr>
        <w:t xml:space="preserve"> и невозможностью выделения статистических данных, которые его касаются из всего Одинцовского городского округа, согласно данным статистической формы 22-ЖКХ (сводная), то анализ проводился по данным организаций в сфере водоотведения. В целом, доходы и расходы в системе электроснабжения. Среди расходов наибольший удельный вес имеют «прочие эксплуатационные затраты». Инвестиционные расходы, и без того незначительные, имели тенденцию к снижению, и их доля  составила 0,15%. Расчетные значения валовой прибыли оставались отрицательными на протяжении всего рассматриваемого периода, что связано с недополучением части доходов, о чем свидетельствует наличие дебиторской задолженности. Значения валовой рентабельности имели тенденцию к улучшению, но их значения оставались отрицательными. </w:t>
      </w:r>
    </w:p>
    <w:p>
      <w:pPr>
        <w:shd w:val="clear" w:color="auto" w:fill="FFFFFF"/>
        <w:spacing w:line="360" w:lineRule="auto"/>
        <w:ind w:firstLine="567"/>
        <w:jc w:val="both"/>
        <w:rPr>
          <w:color w:val="000000"/>
          <w:sz w:val="28"/>
          <w:szCs w:val="28"/>
        </w:rPr>
      </w:pPr>
      <w:r>
        <w:rPr>
          <w:color w:val="000000"/>
          <w:sz w:val="28"/>
          <w:szCs w:val="28"/>
        </w:rPr>
        <w:t xml:space="preserve">  Доля населения в структуре дебиторской задолженности составила в 2018 году 78%. Кредиторская задолженность меньше дебиторской, а доля за поставку топливно-энергетических ресурсов в ней весьма незначительная. </w:t>
      </w:r>
    </w:p>
    <w:p>
      <w:pPr>
        <w:autoSpaceDE w:val="0"/>
        <w:autoSpaceDN w:val="0"/>
        <w:adjustRightInd w:val="0"/>
        <w:spacing w:line="360" w:lineRule="auto"/>
        <w:ind w:firstLine="567"/>
        <w:jc w:val="both"/>
        <w:rPr>
          <w:color w:val="000000"/>
          <w:sz w:val="28"/>
          <w:szCs w:val="28"/>
        </w:rPr>
      </w:pPr>
      <w:r>
        <w:rPr>
          <w:color w:val="000000"/>
          <w:sz w:val="28"/>
          <w:szCs w:val="28"/>
        </w:rPr>
        <w:t xml:space="preserve">Тарифы на электрическую энергию для населения представлены в таблице 2.4-4. </w:t>
      </w:r>
    </w:p>
    <w:p>
      <w:pPr>
        <w:pStyle w:val="639"/>
        <w:spacing w:after="120"/>
        <w:ind w:firstLine="0"/>
        <w:rPr>
          <w:rFonts w:ascii="Times New Roman" w:hAnsi="Times New Roman"/>
          <w:sz w:val="28"/>
          <w:szCs w:val="28"/>
        </w:rPr>
      </w:pPr>
      <w:r>
        <w:rPr>
          <w:rFonts w:ascii="Times New Roman" w:hAnsi="Times New Roman"/>
          <w:sz w:val="28"/>
          <w:szCs w:val="28"/>
        </w:rPr>
        <w:t xml:space="preserve">Таблица 2.4-4. Тарифы* на электрическую энергию для населения (с НДС) </w:t>
      </w:r>
    </w:p>
    <w:tbl>
      <w:tblPr>
        <w:tblStyle w:val="100"/>
        <w:tblW w:w="9055" w:type="dxa"/>
        <w:tblInd w:w="0" w:type="dxa"/>
        <w:tblLayout w:type="fixed"/>
        <w:tblCellMar>
          <w:top w:w="15" w:type="dxa"/>
          <w:left w:w="15" w:type="dxa"/>
          <w:bottom w:w="15" w:type="dxa"/>
          <w:right w:w="15" w:type="dxa"/>
        </w:tblCellMar>
      </w:tblPr>
      <w:tblGrid>
        <w:gridCol w:w="6557"/>
        <w:gridCol w:w="1248"/>
        <w:gridCol w:w="1250"/>
      </w:tblGrid>
      <w:tr>
        <w:tblPrEx>
          <w:tblLayout w:type="fixed"/>
          <w:tblCellMar>
            <w:top w:w="15" w:type="dxa"/>
            <w:left w:w="15" w:type="dxa"/>
            <w:bottom w:w="15" w:type="dxa"/>
            <w:right w:w="15" w:type="dxa"/>
          </w:tblCellMar>
        </w:tblPrEx>
        <w:trPr>
          <w:tblHeader/>
        </w:trPr>
        <w:tc>
          <w:tcPr>
            <w:tcW w:w="6557" w:type="dxa"/>
            <w:vMerge w:val="restart"/>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Показатель (группы потребителей с разбивкой тарифа по ставкам и дифференциацией по зонам суток)</w:t>
            </w:r>
          </w:p>
        </w:tc>
        <w:tc>
          <w:tcPr>
            <w:tcW w:w="2498" w:type="dxa"/>
            <w:gridSpan w:val="2"/>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руб./кВт ч</w:t>
            </w:r>
          </w:p>
        </w:tc>
      </w:tr>
      <w:tr>
        <w:tblPrEx>
          <w:tblLayout w:type="fixed"/>
          <w:tblCellMar>
            <w:top w:w="15" w:type="dxa"/>
            <w:left w:w="15" w:type="dxa"/>
            <w:bottom w:w="15" w:type="dxa"/>
            <w:right w:w="15" w:type="dxa"/>
          </w:tblCellMar>
        </w:tblPrEx>
        <w:trPr>
          <w:tblHeader/>
        </w:trPr>
        <w:tc>
          <w:tcPr>
            <w:tcW w:w="655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rPr>
                <w:sz w:val="20"/>
                <w:szCs w:val="20"/>
              </w:rPr>
            </w:pP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1 полугодие</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2 полугодие</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1. Население и приравненные к ним, за исключением населения и потребителей, указанных в пунктах 2 и 3 (тарифы указываются в рублях с учетом НДС) *</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1.1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1.2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6,08</w:t>
            </w:r>
            <w:r>
              <w:rPr>
                <w:sz w:val="20"/>
                <w:szCs w:val="20"/>
                <w:vertAlign w:val="superscript"/>
              </w:rPr>
              <w:t>+4,83%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1.3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6,88</w:t>
            </w:r>
            <w:r>
              <w:rPr>
                <w:sz w:val="20"/>
                <w:szCs w:val="20"/>
                <w:vertAlign w:val="superscript"/>
              </w:rPr>
              <w:t>+5,04%</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2. 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в рублях с учетом НДС): **</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2.1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3,53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3,71</w:t>
            </w:r>
            <w:r>
              <w:rPr>
                <w:sz w:val="20"/>
                <w:szCs w:val="20"/>
                <w:vertAlign w:val="superscript"/>
              </w:rPr>
              <w:t>+5,10%</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2.2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4,06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4,26</w:t>
            </w:r>
            <w:r>
              <w:rPr>
                <w:sz w:val="20"/>
                <w:szCs w:val="20"/>
                <w:vertAlign w:val="superscript"/>
              </w:rPr>
              <w:t>+4,93%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1,46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1,58</w:t>
            </w:r>
            <w:r>
              <w:rPr>
                <w:sz w:val="20"/>
                <w:szCs w:val="20"/>
                <w:vertAlign w:val="superscript"/>
              </w:rPr>
              <w:t>+8,22%</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2.3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4,59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4,82</w:t>
            </w:r>
            <w:r>
              <w:rPr>
                <w:sz w:val="20"/>
                <w:szCs w:val="20"/>
                <w:vertAlign w:val="superscript"/>
              </w:rPr>
              <w:t>+5,01%</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3,53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3,71</w:t>
            </w:r>
            <w:r>
              <w:rPr>
                <w:sz w:val="20"/>
                <w:szCs w:val="20"/>
                <w:vertAlign w:val="superscript"/>
              </w:rPr>
              <w:t>+5,10%</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1,46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1,57</w:t>
            </w:r>
            <w:r>
              <w:rPr>
                <w:sz w:val="20"/>
                <w:szCs w:val="20"/>
                <w:vertAlign w:val="superscript"/>
              </w:rPr>
              <w:t>+7,53%</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3. Население, проживающее в сельских населенных пунктах и приравненные к ним (тарифы указываются с учетом НДС) ***</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3.1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3,53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3,71</w:t>
            </w:r>
            <w:r>
              <w:rPr>
                <w:sz w:val="20"/>
                <w:szCs w:val="20"/>
                <w:vertAlign w:val="superscript"/>
              </w:rPr>
              <w:t>+5,10%</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3.2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4,06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4,26</w:t>
            </w:r>
            <w:r>
              <w:rPr>
                <w:sz w:val="20"/>
                <w:szCs w:val="20"/>
                <w:vertAlign w:val="superscript"/>
              </w:rPr>
              <w:t>+4,93%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1,46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1,58</w:t>
            </w:r>
            <w:r>
              <w:rPr>
                <w:sz w:val="20"/>
                <w:szCs w:val="20"/>
                <w:vertAlign w:val="superscript"/>
              </w:rPr>
              <w:t>+8,22%</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3.3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4,59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4,82</w:t>
            </w:r>
            <w:r>
              <w:rPr>
                <w:sz w:val="20"/>
                <w:szCs w:val="20"/>
                <w:vertAlign w:val="superscript"/>
              </w:rPr>
              <w:t>+5,01%</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3,53</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3,71</w:t>
            </w:r>
            <w:r>
              <w:rPr>
                <w:sz w:val="20"/>
                <w:szCs w:val="20"/>
                <w:vertAlign w:val="superscript"/>
              </w:rPr>
              <w:t>+5,10%</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1,46</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1,57</w:t>
            </w:r>
            <w:r>
              <w:rPr>
                <w:sz w:val="20"/>
                <w:szCs w:val="20"/>
                <w:vertAlign w:val="superscript"/>
              </w:rPr>
              <w:t>+7,53%</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4.1 Потребители, приравненные к населению (тарифы указываются в рублях с учетом НДС): Садоводческие, огороднические или дачные некоммерческие объединения граждан - некоммерческие организации, учрежденные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2.</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4.1.1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4.1.2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6,08</w:t>
            </w:r>
            <w:r>
              <w:rPr>
                <w:sz w:val="20"/>
                <w:szCs w:val="20"/>
                <w:vertAlign w:val="superscript"/>
              </w:rPr>
              <w:t>+4,83%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4.1.3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6,88</w:t>
            </w:r>
            <w:r>
              <w:rPr>
                <w:sz w:val="20"/>
                <w:szCs w:val="20"/>
                <w:vertAlign w:val="superscript"/>
              </w:rPr>
              <w:t>+5,04%</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4.2 Потребители, приравненные к населению (тарифы указываются в рублях с учетом НДС):Юридические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пункте2.</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4.2.1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4.2.2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6,08</w:t>
            </w:r>
            <w:r>
              <w:rPr>
                <w:sz w:val="20"/>
                <w:szCs w:val="20"/>
                <w:vertAlign w:val="superscript"/>
              </w:rPr>
              <w:t>+4,83%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4.2.3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6,88</w:t>
            </w:r>
            <w:r>
              <w:rPr>
                <w:sz w:val="20"/>
                <w:szCs w:val="20"/>
                <w:vertAlign w:val="superscript"/>
              </w:rPr>
              <w:t>+5,04%</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4.3 Потребители, приравненные к населению (тарифы указываются в рублях с учетом НДС): Содержащиеся за счет прихожан религиозные организации. 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пункте2.</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4.3.1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4.3.2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6,08</w:t>
            </w:r>
            <w:r>
              <w:rPr>
                <w:sz w:val="20"/>
                <w:szCs w:val="20"/>
                <w:vertAlign w:val="superscript"/>
              </w:rPr>
              <w:t>+4,83%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4.3.3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6,88</w:t>
            </w:r>
            <w:r>
              <w:rPr>
                <w:sz w:val="20"/>
                <w:szCs w:val="20"/>
                <w:vertAlign w:val="superscript"/>
              </w:rPr>
              <w:t>+5,04%</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4.4 Потребители, приравненные к населению (тарифы указываются в рублях с учетом НДС): Объединения граждан, приобретающих электрическую энергию (мощность) для использования в принадлежащих им хозяйственных постройках (погреба, сараи).Некоммерческие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пункте2.</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4.4.1</w:t>
            </w:r>
            <w:r>
              <w:fldChar w:fldCharType="begin"/>
            </w:r>
            <w:r>
              <w:instrText xml:space="preserve"> HYPERLINK "https://energo-24.ru/tariffs/electro/9446.html" \o "24 часа в сутки" </w:instrText>
            </w:r>
            <w:r>
              <w:fldChar w:fldCharType="separate"/>
            </w:r>
            <w:r>
              <w:rPr>
                <w:rStyle w:val="95"/>
                <w:color w:val="auto"/>
                <w:sz w:val="20"/>
                <w:szCs w:val="20"/>
              </w:rPr>
              <w:t> Одноставочный тариф</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4.4.2 Тариф, дифференцированный по двум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5,8</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6,08</w:t>
            </w:r>
            <w:r>
              <w:rPr>
                <w:sz w:val="20"/>
                <w:szCs w:val="20"/>
                <w:vertAlign w:val="superscript"/>
              </w:rPr>
              <w:t>+4,83%</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r>
        <w:tblPrEx>
          <w:tblLayout w:type="fixed"/>
          <w:tblCellMar>
            <w:top w:w="15" w:type="dxa"/>
            <w:left w:w="15" w:type="dxa"/>
            <w:bottom w:w="15" w:type="dxa"/>
            <w:right w:w="15" w:type="dxa"/>
          </w:tblCellMar>
        </w:tblPrEx>
        <w:tc>
          <w:tcPr>
            <w:tcW w:w="9055" w:type="dxa"/>
            <w:gridSpan w:val="3"/>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sz w:val="20"/>
                <w:szCs w:val="20"/>
              </w:rPr>
              <w:t>4.4.3 Тариф, дифференцированный по трем зонам суток</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6,55</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6,88</w:t>
            </w:r>
            <w:r>
              <w:rPr>
                <w:sz w:val="20"/>
                <w:szCs w:val="20"/>
                <w:vertAlign w:val="superscript"/>
              </w:rPr>
              <w:t>+5,04%</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Полупиковая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5,04</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5,29</w:t>
            </w:r>
            <w:r>
              <w:rPr>
                <w:sz w:val="20"/>
                <w:szCs w:val="20"/>
                <w:vertAlign w:val="superscript"/>
              </w:rPr>
              <w:t>+4,96%</w:t>
            </w:r>
          </w:p>
        </w:tc>
      </w:tr>
      <w:tr>
        <w:tblPrEx>
          <w:tblLayout w:type="fixed"/>
          <w:tblCellMar>
            <w:top w:w="15" w:type="dxa"/>
            <w:left w:w="15" w:type="dxa"/>
            <w:bottom w:w="15" w:type="dxa"/>
            <w:right w:w="15" w:type="dxa"/>
          </w:tblCellMar>
        </w:tblPrEx>
        <w:tc>
          <w:tcPr>
            <w:tcW w:w="6557"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fldChar w:fldCharType="begin"/>
            </w:r>
            <w:r>
              <w:instrText xml:space="preserve"> HYPERLINK "https://energo-24.ru/tariffs/electro/9446.html" \o "24 часа в сутки" </w:instrText>
            </w:r>
            <w:r>
              <w:fldChar w:fldCharType="separate"/>
            </w:r>
            <w:r>
              <w:rPr>
                <w:rStyle w:val="95"/>
                <w:color w:val="auto"/>
                <w:sz w:val="20"/>
                <w:szCs w:val="20"/>
              </w:rPr>
              <w:t>Ночная зона</w:t>
            </w:r>
            <w:r>
              <w:rPr>
                <w:rStyle w:val="95"/>
                <w:color w:val="auto"/>
                <w:sz w:val="20"/>
                <w:szCs w:val="20"/>
              </w:rPr>
              <w:fldChar w:fldCharType="end"/>
            </w:r>
          </w:p>
        </w:tc>
        <w:tc>
          <w:tcPr>
            <w:tcW w:w="1248"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2,09</w:t>
            </w:r>
          </w:p>
        </w:tc>
        <w:tc>
          <w:tcPr>
            <w:tcW w:w="1250" w:type="dxa"/>
            <w:tcBorders>
              <w:top w:val="single" w:color="000000" w:sz="6" w:space="0"/>
              <w:left w:val="single" w:color="000000" w:sz="6" w:space="0"/>
              <w:bottom w:val="single" w:color="000000" w:sz="6" w:space="0"/>
              <w:right w:val="single" w:color="000000" w:sz="6" w:space="0"/>
            </w:tcBorders>
            <w:shd w:val="clear" w:color="auto" w:fill="auto"/>
            <w:tcMar>
              <w:top w:w="45" w:type="dxa"/>
              <w:left w:w="45" w:type="dxa"/>
              <w:bottom w:w="45" w:type="dxa"/>
              <w:right w:w="45" w:type="dxa"/>
            </w:tcMar>
            <w:vAlign w:val="center"/>
          </w:tcPr>
          <w:p>
            <w:pPr>
              <w:spacing w:after="300"/>
              <w:rPr>
                <w:sz w:val="20"/>
                <w:szCs w:val="20"/>
              </w:rPr>
            </w:pPr>
            <w:r>
              <w:rPr>
                <w:b/>
                <w:bCs/>
                <w:sz w:val="20"/>
                <w:szCs w:val="20"/>
              </w:rPr>
              <w:t>2,25</w:t>
            </w:r>
            <w:r>
              <w:rPr>
                <w:sz w:val="20"/>
                <w:szCs w:val="20"/>
                <w:vertAlign w:val="superscript"/>
              </w:rPr>
              <w:t>+7,66%</w:t>
            </w:r>
          </w:p>
        </w:tc>
      </w:tr>
    </w:tbl>
    <w:p>
      <w:pPr>
        <w:autoSpaceDE w:val="0"/>
        <w:autoSpaceDN w:val="0"/>
        <w:adjustRightInd w:val="0"/>
        <w:spacing w:line="360" w:lineRule="auto"/>
        <w:jc w:val="both"/>
        <w:rPr>
          <w:color w:val="000000"/>
          <w:sz w:val="28"/>
          <w:szCs w:val="28"/>
        </w:rPr>
      </w:pPr>
      <w:r>
        <w:rPr>
          <w:sz w:val="20"/>
          <w:szCs w:val="20"/>
        </w:rPr>
        <w:t>Источник: приказы Комитета по тарифам и ценам Московской области.</w:t>
      </w:r>
    </w:p>
    <w:p>
      <w:pPr>
        <w:spacing w:line="360" w:lineRule="auto"/>
        <w:ind w:firstLine="567"/>
        <w:jc w:val="both"/>
        <w:rPr>
          <w:rFonts w:eastAsia="Calibri"/>
          <w:bCs/>
          <w:sz w:val="28"/>
          <w:szCs w:val="28"/>
        </w:rPr>
      </w:pPr>
      <w:r>
        <w:rPr>
          <w:color w:val="000000"/>
          <w:sz w:val="28"/>
          <w:szCs w:val="28"/>
        </w:rPr>
        <w:t>Тарифы для бюджетных и прочих организаций на электрическую энергию складываются из фиксированного тарифа на передачу электроэнергии и тарифа купли-продажи электроэнергии на нерегулируемом рынке, из-за чего конечная цена на услугу не фиксированная.</w:t>
      </w:r>
    </w:p>
    <w:p>
      <w:pPr>
        <w:pStyle w:val="3"/>
        <w:numPr>
          <w:ilvl w:val="1"/>
          <w:numId w:val="30"/>
        </w:numPr>
        <w:pBdr>
          <w:bottom w:val="single" w:color="auto" w:sz="4" w:space="1"/>
        </w:pBdr>
        <w:tabs>
          <w:tab w:val="left" w:pos="1276"/>
        </w:tabs>
        <w:spacing w:before="0" w:after="200"/>
        <w:ind w:hanging="721"/>
        <w:rPr>
          <w:rFonts w:ascii="Times New Roman" w:hAnsi="Times New Roman"/>
          <w:i w:val="0"/>
          <w:color w:val="000000"/>
          <w:sz w:val="30"/>
          <w:szCs w:val="30"/>
        </w:rPr>
      </w:pPr>
      <w:bookmarkStart w:id="23" w:name="_Toc21015041"/>
      <w:r>
        <w:rPr>
          <w:rFonts w:ascii="Times New Roman" w:hAnsi="Times New Roman"/>
          <w:i w:val="0"/>
          <w:color w:val="000000"/>
          <w:sz w:val="30"/>
          <w:szCs w:val="30"/>
        </w:rPr>
        <w:t>Краткий анализ существующей системы газоснабжения</w:t>
      </w:r>
      <w:bookmarkEnd w:id="23"/>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4" w:name="_Toc21015042"/>
      <w:r>
        <w:rPr>
          <w:rFonts w:ascii="Times New Roman" w:hAnsi="Times New Roman"/>
          <w:i w:val="0"/>
          <w:color w:val="000000"/>
          <w:sz w:val="30"/>
          <w:szCs w:val="30"/>
        </w:rPr>
        <w:t>Организационная структура</w:t>
      </w:r>
      <w:bookmarkEnd w:id="24"/>
    </w:p>
    <w:p>
      <w:pPr>
        <w:spacing w:line="360" w:lineRule="auto"/>
        <w:ind w:firstLine="567"/>
        <w:jc w:val="both"/>
        <w:rPr>
          <w:color w:val="000000"/>
          <w:sz w:val="28"/>
          <w:szCs w:val="28"/>
        </w:rPr>
      </w:pPr>
      <w:r>
        <w:rPr>
          <w:color w:val="000000"/>
          <w:sz w:val="28"/>
          <w:szCs w:val="28"/>
        </w:rPr>
        <w:t xml:space="preserve"> Природный (сетевой) газ поступает на территорию ТУ Одинцово через газораспределительные станции, находящиеся на балансе АО «Мособлгаз». Из магистрального газопровода далее природный газ поступает в систему распределительных газопроводов, которые оказывают услуги по техническому обслуживанию газовых сетей и оборудования, а также осуществляют подключение потребителей.</w:t>
      </w: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5" w:name="_Toc21015043"/>
      <w:r>
        <w:rPr>
          <w:rFonts w:ascii="Times New Roman" w:hAnsi="Times New Roman"/>
          <w:i w:val="0"/>
          <w:color w:val="000000"/>
          <w:sz w:val="30"/>
          <w:szCs w:val="30"/>
        </w:rPr>
        <w:t>Анализ существующего технического состояния</w:t>
      </w:r>
      <w:bookmarkEnd w:id="25"/>
    </w:p>
    <w:p>
      <w:pPr>
        <w:spacing w:line="360" w:lineRule="auto"/>
        <w:ind w:firstLine="567"/>
        <w:jc w:val="both"/>
        <w:rPr>
          <w:color w:val="000000"/>
          <w:sz w:val="28"/>
          <w:szCs w:val="28"/>
        </w:rPr>
      </w:pPr>
      <w:r>
        <w:rPr>
          <w:color w:val="000000"/>
          <w:sz w:val="28"/>
          <w:szCs w:val="28"/>
        </w:rPr>
        <w:t xml:space="preserve">Природный газ поступает на территорию ТУ Одинцово через газовые распределительные станции. Сделать по ним какой-либо технический анализ не представляется возможным ввиду не предоставления данных обслуживающей компанией – АО «Мособлгаз». </w:t>
      </w:r>
    </w:p>
    <w:p>
      <w:pPr>
        <w:spacing w:line="360" w:lineRule="auto"/>
        <w:ind w:firstLine="567"/>
        <w:jc w:val="both"/>
        <w:rPr>
          <w:color w:val="000000"/>
          <w:sz w:val="28"/>
          <w:szCs w:val="28"/>
        </w:rPr>
      </w:pPr>
      <w:r>
        <w:rPr>
          <w:color w:val="000000"/>
          <w:sz w:val="28"/>
          <w:szCs w:val="28"/>
        </w:rPr>
        <w:t xml:space="preserve">Природный газ поступает в систему распределительных газопроводов. Существующая схема газоснабжения спроектирована по трехступенчатой системе: газопроводы высокого давления (до 10 МПа), среднего давления (от 0,006 до 0,3 МПа) и низкого давления (до 0,005 МПа). К газопроводам высокого и среднего давления подключены ГРП, ШРП, котельные и производственные предприятия. К газопроводам низкого давления подключены жилой фонд, бюджетные организации и предприятия бытового обслуживания. Природный газ используется населением для сжигания в бытовых приборах (кухонные плиты, водяные нагреватели и отопительные котлы). На коммунальных предприятиях он используется в основном для получения горячей воды и тепловой энергии; на промышленных предприятиях – на собственные и технологические нужды. </w:t>
      </w:r>
    </w:p>
    <w:p>
      <w:pPr>
        <w:spacing w:line="360" w:lineRule="auto"/>
        <w:ind w:firstLine="567"/>
        <w:jc w:val="both"/>
        <w:rPr>
          <w:color w:val="000000"/>
          <w:sz w:val="28"/>
          <w:szCs w:val="28"/>
        </w:rPr>
      </w:pPr>
      <w:r>
        <w:rPr>
          <w:color w:val="000000"/>
          <w:sz w:val="28"/>
          <w:szCs w:val="28"/>
        </w:rPr>
        <w:t xml:space="preserve">Согласно статистической форме 1-МО подача природного газа потребителям производится по уличным газопроводам общей одиночной протяженностью 3845. </w:t>
      </w:r>
    </w:p>
    <w:p>
      <w:pPr>
        <w:spacing w:line="360" w:lineRule="auto"/>
        <w:ind w:firstLine="567"/>
        <w:jc w:val="both"/>
        <w:rPr>
          <w:color w:val="000000"/>
          <w:sz w:val="28"/>
          <w:szCs w:val="28"/>
        </w:rPr>
      </w:pPr>
      <w:r>
        <w:rPr>
          <w:color w:val="000000"/>
          <w:sz w:val="28"/>
          <w:szCs w:val="28"/>
        </w:rPr>
        <w:t xml:space="preserve">Основу газовых сетей составляют полимерные газопроводы – 63% в 2017 году. На балансе ГРО нет газопроводов высокого давления I-ой категории. Основную часть составляют сети низкого давления – удельный вес 78% в том же году. Большая часть полиэтиленовых газопроводов имеет меньшие фактические и большие нормативные сроки службы, в результате чего износ по ним существенно меньше  </w:t>
      </w:r>
      <w:r>
        <w:rPr>
          <w:color w:val="000000"/>
          <w:sz w:val="28"/>
          <w:szCs w:val="28"/>
        </w:rPr>
        <w:sym w:font="Symbol" w:char="F02D"/>
      </w:r>
      <w:r>
        <w:rPr>
          <w:color w:val="000000"/>
          <w:sz w:val="28"/>
          <w:szCs w:val="28"/>
        </w:rPr>
        <w:t xml:space="preserve"> 19% против 63%. Развитие газовых сетей в последние годы происходит, главным образом, за счет прокладки полимерных труб. Бесхозных газовых сетей на балансе предприятия нет. </w:t>
      </w:r>
    </w:p>
    <w:p>
      <w:pPr>
        <w:spacing w:line="360" w:lineRule="auto"/>
        <w:ind w:firstLine="567"/>
        <w:jc w:val="both"/>
        <w:rPr>
          <w:color w:val="000000"/>
          <w:sz w:val="28"/>
          <w:szCs w:val="28"/>
        </w:rPr>
      </w:pPr>
      <w:r>
        <w:rPr>
          <w:color w:val="000000"/>
          <w:sz w:val="28"/>
          <w:szCs w:val="28"/>
        </w:rPr>
        <w:t xml:space="preserve">В городе также имеются распределительные газовые сети промышленных предприятий. </w:t>
      </w:r>
    </w:p>
    <w:p>
      <w:pPr>
        <w:spacing w:line="360" w:lineRule="auto"/>
        <w:ind w:firstLine="567"/>
        <w:jc w:val="both"/>
        <w:rPr>
          <w:color w:val="000000"/>
          <w:sz w:val="28"/>
          <w:szCs w:val="28"/>
        </w:rPr>
      </w:pPr>
      <w:r>
        <w:rPr>
          <w:color w:val="000000"/>
          <w:sz w:val="28"/>
          <w:szCs w:val="28"/>
        </w:rPr>
        <w:t xml:space="preserve">Согласно статистической форме 22-ЖКХ (сводная) на конец 2017 года газом было обеспечено 2422,6 тыс. кв. м жилой площади, в т.ч. природным – 2422,6 тыс. кв. м. При использовании в качестве базы расчета обеспеченность населения услугой газоснабжения в 2017 году оценивается в 42,4%. </w:t>
      </w:r>
    </w:p>
    <w:p>
      <w:pPr>
        <w:spacing w:line="360" w:lineRule="auto"/>
        <w:ind w:firstLine="567"/>
        <w:jc w:val="both"/>
        <w:rPr>
          <w:color w:val="000000"/>
          <w:sz w:val="28"/>
          <w:szCs w:val="28"/>
        </w:rPr>
      </w:pPr>
      <w:r>
        <w:rPr>
          <w:color w:val="000000"/>
          <w:sz w:val="28"/>
          <w:szCs w:val="28"/>
        </w:rPr>
        <w:t xml:space="preserve">Согласно данным АО «Мособлгаз» 51,3% населения рассчитывалось за услугу газоснабжения по приборам учета; аналогичный показатель для бюджетофинансируемых организаций и прочих потребителей составляет 100%. </w:t>
      </w:r>
    </w:p>
    <w:p>
      <w:pPr>
        <w:spacing w:line="360" w:lineRule="auto"/>
        <w:ind w:firstLine="567"/>
        <w:jc w:val="both"/>
        <w:rPr>
          <w:color w:val="000000"/>
          <w:sz w:val="28"/>
          <w:szCs w:val="28"/>
        </w:rPr>
      </w:pPr>
      <w:r>
        <w:rPr>
          <w:color w:val="000000"/>
          <w:sz w:val="28"/>
          <w:szCs w:val="28"/>
        </w:rPr>
        <w:t xml:space="preserve">Данные по отпуску природного газа получены из статистической формы 22-ЖКХ (сводная). </w:t>
      </w:r>
    </w:p>
    <w:p>
      <w:pPr>
        <w:pStyle w:val="639"/>
        <w:spacing w:after="120"/>
        <w:ind w:firstLine="0"/>
        <w:rPr>
          <w:rFonts w:ascii="Times New Roman" w:hAnsi="Times New Roman"/>
          <w:sz w:val="28"/>
          <w:szCs w:val="28"/>
        </w:rPr>
      </w:pPr>
      <w:r>
        <w:rPr>
          <w:rFonts w:ascii="Times New Roman" w:hAnsi="Times New Roman"/>
          <w:sz w:val="28"/>
          <w:szCs w:val="28"/>
        </w:rPr>
        <w:t xml:space="preserve">Таблица 2.5-1. Показатели полезного отпуска природного газа </w:t>
      </w:r>
    </w:p>
    <w:tbl>
      <w:tblPr>
        <w:tblStyle w:val="10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1134"/>
        <w:gridCol w:w="935"/>
        <w:gridCol w:w="935"/>
        <w:gridCol w:w="936"/>
        <w:gridCol w:w="93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5" w:hRule="atLeast"/>
          <w:tblHeader/>
        </w:trPr>
        <w:tc>
          <w:tcPr>
            <w:tcW w:w="3261" w:type="dxa"/>
            <w:shd w:val="clear" w:color="auto" w:fill="auto"/>
            <w:vAlign w:val="center"/>
          </w:tcPr>
          <w:p>
            <w:pPr>
              <w:spacing w:before="20" w:after="20"/>
              <w:jc w:val="center"/>
              <w:rPr>
                <w:b/>
                <w:bCs/>
                <w:iCs/>
                <w:sz w:val="20"/>
                <w:szCs w:val="20"/>
              </w:rPr>
            </w:pPr>
            <w:r>
              <w:rPr>
                <w:b/>
                <w:bCs/>
                <w:iCs/>
                <w:sz w:val="20"/>
                <w:szCs w:val="20"/>
              </w:rPr>
              <w:t>Показатели</w:t>
            </w:r>
          </w:p>
        </w:tc>
        <w:tc>
          <w:tcPr>
            <w:tcW w:w="1134" w:type="dxa"/>
            <w:shd w:val="clear" w:color="auto" w:fill="auto"/>
            <w:vAlign w:val="center"/>
          </w:tcPr>
          <w:p>
            <w:pPr>
              <w:spacing w:before="20" w:after="20"/>
              <w:jc w:val="center"/>
              <w:rPr>
                <w:b/>
                <w:sz w:val="20"/>
                <w:szCs w:val="20"/>
              </w:rPr>
            </w:pPr>
            <w:r>
              <w:rPr>
                <w:b/>
                <w:sz w:val="20"/>
                <w:szCs w:val="20"/>
              </w:rPr>
              <w:t> Ед. изм.</w:t>
            </w:r>
          </w:p>
        </w:tc>
        <w:tc>
          <w:tcPr>
            <w:tcW w:w="935" w:type="dxa"/>
            <w:shd w:val="clear" w:color="auto" w:fill="auto"/>
            <w:vAlign w:val="center"/>
          </w:tcPr>
          <w:p>
            <w:pPr>
              <w:spacing w:before="20" w:after="20"/>
              <w:jc w:val="center"/>
              <w:rPr>
                <w:b/>
                <w:sz w:val="20"/>
                <w:szCs w:val="20"/>
              </w:rPr>
            </w:pPr>
            <w:r>
              <w:rPr>
                <w:b/>
                <w:sz w:val="20"/>
                <w:szCs w:val="20"/>
              </w:rPr>
              <w:t>2013</w:t>
            </w:r>
          </w:p>
        </w:tc>
        <w:tc>
          <w:tcPr>
            <w:tcW w:w="935" w:type="dxa"/>
            <w:shd w:val="clear" w:color="auto" w:fill="auto"/>
            <w:vAlign w:val="center"/>
          </w:tcPr>
          <w:p>
            <w:pPr>
              <w:spacing w:before="20" w:after="20"/>
              <w:jc w:val="center"/>
              <w:rPr>
                <w:b/>
                <w:sz w:val="20"/>
                <w:szCs w:val="20"/>
              </w:rPr>
            </w:pPr>
            <w:r>
              <w:rPr>
                <w:b/>
                <w:sz w:val="20"/>
                <w:szCs w:val="20"/>
              </w:rPr>
              <w:t>2014 </w:t>
            </w:r>
          </w:p>
        </w:tc>
        <w:tc>
          <w:tcPr>
            <w:tcW w:w="936" w:type="dxa"/>
            <w:shd w:val="clear" w:color="auto" w:fill="auto"/>
            <w:vAlign w:val="center"/>
          </w:tcPr>
          <w:p>
            <w:pPr>
              <w:spacing w:before="20" w:after="20"/>
              <w:jc w:val="center"/>
              <w:rPr>
                <w:b/>
                <w:sz w:val="20"/>
                <w:szCs w:val="20"/>
              </w:rPr>
            </w:pPr>
            <w:r>
              <w:rPr>
                <w:b/>
                <w:sz w:val="20"/>
                <w:szCs w:val="20"/>
              </w:rPr>
              <w:t>2015 </w:t>
            </w:r>
          </w:p>
        </w:tc>
        <w:tc>
          <w:tcPr>
            <w:tcW w:w="935" w:type="dxa"/>
            <w:vAlign w:val="center"/>
          </w:tcPr>
          <w:p>
            <w:pPr>
              <w:spacing w:before="20" w:after="20"/>
              <w:jc w:val="center"/>
              <w:rPr>
                <w:b/>
                <w:sz w:val="20"/>
                <w:szCs w:val="20"/>
              </w:rPr>
            </w:pPr>
            <w:r>
              <w:rPr>
                <w:b/>
                <w:sz w:val="20"/>
                <w:szCs w:val="20"/>
              </w:rPr>
              <w:t>2016</w:t>
            </w:r>
          </w:p>
        </w:tc>
        <w:tc>
          <w:tcPr>
            <w:tcW w:w="936" w:type="dxa"/>
            <w:vAlign w:val="center"/>
          </w:tcPr>
          <w:p>
            <w:pPr>
              <w:spacing w:before="20" w:after="20"/>
              <w:jc w:val="center"/>
              <w:rPr>
                <w:b/>
                <w:sz w:val="20"/>
                <w:szCs w:val="20"/>
              </w:rPr>
            </w:pPr>
            <w:r>
              <w:rPr>
                <w:b/>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9072" w:type="dxa"/>
            <w:gridSpan w:val="7"/>
            <w:shd w:val="clear" w:color="auto" w:fill="auto"/>
            <w:vAlign w:val="center"/>
          </w:tcPr>
          <w:p>
            <w:pPr>
              <w:spacing w:before="20" w:after="20"/>
              <w:rPr>
                <w:b/>
                <w:i/>
                <w:sz w:val="20"/>
                <w:szCs w:val="20"/>
              </w:rPr>
            </w:pPr>
            <w:r>
              <w:rPr>
                <w:b/>
                <w:i/>
                <w:sz w:val="20"/>
                <w:szCs w:val="20"/>
              </w:rPr>
              <w:t>22-ЖКХ (сводная)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3261" w:type="dxa"/>
            <w:shd w:val="clear" w:color="auto" w:fill="auto"/>
            <w:vAlign w:val="center"/>
          </w:tcPr>
          <w:p>
            <w:pPr>
              <w:spacing w:before="20" w:after="20"/>
              <w:ind w:left="34"/>
              <w:rPr>
                <w:sz w:val="20"/>
                <w:szCs w:val="20"/>
              </w:rPr>
            </w:pPr>
            <w:r>
              <w:rPr>
                <w:bCs/>
                <w:sz w:val="20"/>
                <w:szCs w:val="20"/>
              </w:rPr>
              <w:t>Отпущено природного газа, в т.ч.:</w:t>
            </w:r>
          </w:p>
        </w:tc>
        <w:tc>
          <w:tcPr>
            <w:tcW w:w="1134" w:type="dxa"/>
            <w:shd w:val="clear" w:color="auto" w:fill="auto"/>
            <w:vAlign w:val="center"/>
          </w:tcPr>
          <w:p>
            <w:pPr>
              <w:jc w:val="center"/>
            </w:pPr>
            <w:r>
              <w:rPr>
                <w:bCs/>
                <w:sz w:val="20"/>
                <w:szCs w:val="20"/>
              </w:rPr>
              <w:t>млн м</w:t>
            </w:r>
            <w:r>
              <w:rPr>
                <w:bCs/>
                <w:sz w:val="20"/>
                <w:szCs w:val="20"/>
                <w:vertAlign w:val="superscript"/>
              </w:rPr>
              <w:t>3</w:t>
            </w:r>
          </w:p>
        </w:tc>
        <w:tc>
          <w:tcPr>
            <w:tcW w:w="935" w:type="dxa"/>
            <w:shd w:val="clear" w:color="auto" w:fill="auto"/>
            <w:vAlign w:val="center"/>
          </w:tcPr>
          <w:p>
            <w:pPr>
              <w:jc w:val="center"/>
              <w:rPr>
                <w:sz w:val="20"/>
                <w:szCs w:val="20"/>
              </w:rPr>
            </w:pPr>
            <w:r>
              <w:rPr>
                <w:sz w:val="20"/>
                <w:szCs w:val="20"/>
              </w:rPr>
              <w:t>195,6</w:t>
            </w:r>
          </w:p>
        </w:tc>
        <w:tc>
          <w:tcPr>
            <w:tcW w:w="935" w:type="dxa"/>
            <w:shd w:val="clear" w:color="auto" w:fill="auto"/>
            <w:vAlign w:val="center"/>
          </w:tcPr>
          <w:p>
            <w:pPr>
              <w:jc w:val="center"/>
              <w:rPr>
                <w:sz w:val="20"/>
                <w:szCs w:val="20"/>
              </w:rPr>
            </w:pPr>
            <w:r>
              <w:rPr>
                <w:sz w:val="20"/>
                <w:szCs w:val="20"/>
              </w:rPr>
              <w:t>192,4</w:t>
            </w:r>
          </w:p>
        </w:tc>
        <w:tc>
          <w:tcPr>
            <w:tcW w:w="936" w:type="dxa"/>
            <w:shd w:val="clear" w:color="auto" w:fill="auto"/>
            <w:vAlign w:val="center"/>
          </w:tcPr>
          <w:p>
            <w:pPr>
              <w:jc w:val="center"/>
              <w:rPr>
                <w:sz w:val="20"/>
                <w:szCs w:val="20"/>
              </w:rPr>
            </w:pPr>
            <w:r>
              <w:rPr>
                <w:sz w:val="20"/>
                <w:szCs w:val="20"/>
              </w:rPr>
              <w:t>104,7</w:t>
            </w:r>
          </w:p>
        </w:tc>
        <w:tc>
          <w:tcPr>
            <w:tcW w:w="935" w:type="dxa"/>
            <w:vAlign w:val="center"/>
          </w:tcPr>
          <w:p>
            <w:pPr>
              <w:jc w:val="center"/>
              <w:rPr>
                <w:sz w:val="20"/>
                <w:szCs w:val="20"/>
              </w:rPr>
            </w:pPr>
            <w:r>
              <w:rPr>
                <w:sz w:val="20"/>
                <w:szCs w:val="20"/>
              </w:rPr>
              <w:t>110,9</w:t>
            </w:r>
          </w:p>
        </w:tc>
        <w:tc>
          <w:tcPr>
            <w:tcW w:w="936" w:type="dxa"/>
            <w:vAlign w:val="center"/>
          </w:tcPr>
          <w:p>
            <w:pPr>
              <w:jc w:val="center"/>
              <w:rPr>
                <w:sz w:val="20"/>
                <w:szCs w:val="20"/>
              </w:rPr>
            </w:pPr>
            <w:r>
              <w:rPr>
                <w:sz w:val="20"/>
                <w:szCs w:val="20"/>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3261" w:type="dxa"/>
            <w:shd w:val="clear" w:color="auto" w:fill="auto"/>
            <w:vAlign w:val="center"/>
          </w:tcPr>
          <w:p>
            <w:pPr>
              <w:spacing w:before="20" w:after="20"/>
              <w:ind w:left="176"/>
              <w:rPr>
                <w:sz w:val="20"/>
                <w:szCs w:val="20"/>
              </w:rPr>
            </w:pPr>
            <w:r>
              <w:rPr>
                <w:sz w:val="20"/>
                <w:szCs w:val="20"/>
              </w:rPr>
              <w:t>население</w:t>
            </w:r>
          </w:p>
        </w:tc>
        <w:tc>
          <w:tcPr>
            <w:tcW w:w="1134" w:type="dxa"/>
            <w:shd w:val="clear" w:color="auto" w:fill="auto"/>
            <w:vAlign w:val="center"/>
          </w:tcPr>
          <w:p>
            <w:pPr>
              <w:jc w:val="center"/>
            </w:pPr>
            <w:r>
              <w:rPr>
                <w:bCs/>
                <w:sz w:val="20"/>
                <w:szCs w:val="20"/>
              </w:rPr>
              <w:t>млн м</w:t>
            </w:r>
            <w:r>
              <w:rPr>
                <w:bCs/>
                <w:sz w:val="20"/>
                <w:szCs w:val="20"/>
                <w:vertAlign w:val="superscript"/>
              </w:rPr>
              <w:t>3</w:t>
            </w:r>
          </w:p>
        </w:tc>
        <w:tc>
          <w:tcPr>
            <w:tcW w:w="935" w:type="dxa"/>
            <w:shd w:val="clear" w:color="auto" w:fill="auto"/>
            <w:vAlign w:val="center"/>
          </w:tcPr>
          <w:p>
            <w:pPr>
              <w:jc w:val="center"/>
              <w:rPr>
                <w:sz w:val="20"/>
                <w:szCs w:val="20"/>
              </w:rPr>
            </w:pPr>
            <w:r>
              <w:rPr>
                <w:sz w:val="20"/>
                <w:szCs w:val="20"/>
              </w:rPr>
              <w:t>108,4</w:t>
            </w:r>
          </w:p>
        </w:tc>
        <w:tc>
          <w:tcPr>
            <w:tcW w:w="935" w:type="dxa"/>
            <w:shd w:val="clear" w:color="auto" w:fill="auto"/>
            <w:vAlign w:val="center"/>
          </w:tcPr>
          <w:p>
            <w:pPr>
              <w:jc w:val="center"/>
              <w:rPr>
                <w:sz w:val="20"/>
                <w:szCs w:val="20"/>
              </w:rPr>
            </w:pPr>
            <w:r>
              <w:rPr>
                <w:sz w:val="20"/>
                <w:szCs w:val="20"/>
              </w:rPr>
              <w:t>105,3</w:t>
            </w:r>
          </w:p>
        </w:tc>
        <w:tc>
          <w:tcPr>
            <w:tcW w:w="936" w:type="dxa"/>
            <w:shd w:val="clear" w:color="auto" w:fill="auto"/>
            <w:vAlign w:val="center"/>
          </w:tcPr>
          <w:p>
            <w:pPr>
              <w:jc w:val="center"/>
              <w:rPr>
                <w:sz w:val="20"/>
                <w:szCs w:val="20"/>
              </w:rPr>
            </w:pPr>
            <w:r>
              <w:rPr>
                <w:sz w:val="20"/>
                <w:szCs w:val="20"/>
              </w:rPr>
              <w:t>104,6</w:t>
            </w:r>
          </w:p>
        </w:tc>
        <w:tc>
          <w:tcPr>
            <w:tcW w:w="935" w:type="dxa"/>
            <w:vAlign w:val="center"/>
          </w:tcPr>
          <w:p>
            <w:pPr>
              <w:jc w:val="center"/>
              <w:rPr>
                <w:sz w:val="20"/>
                <w:szCs w:val="20"/>
              </w:rPr>
            </w:pPr>
            <w:r>
              <w:rPr>
                <w:sz w:val="20"/>
                <w:szCs w:val="20"/>
              </w:rPr>
              <w:t>110,8</w:t>
            </w:r>
          </w:p>
        </w:tc>
        <w:tc>
          <w:tcPr>
            <w:tcW w:w="936" w:type="dxa"/>
            <w:vAlign w:val="center"/>
          </w:tcPr>
          <w:p>
            <w:pPr>
              <w:jc w:val="center"/>
              <w:rPr>
                <w:sz w:val="20"/>
                <w:szCs w:val="20"/>
              </w:rPr>
            </w:pPr>
            <w:r>
              <w:rPr>
                <w:sz w:val="20"/>
                <w:szCs w:val="20"/>
              </w:rPr>
              <w:t>115,3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3261" w:type="dxa"/>
            <w:shd w:val="clear" w:color="auto" w:fill="auto"/>
            <w:vAlign w:val="center"/>
          </w:tcPr>
          <w:p>
            <w:pPr>
              <w:spacing w:before="20" w:after="20"/>
              <w:ind w:left="176"/>
              <w:rPr>
                <w:sz w:val="20"/>
                <w:szCs w:val="20"/>
              </w:rPr>
            </w:pPr>
            <w:r>
              <w:rPr>
                <w:sz w:val="20"/>
                <w:szCs w:val="20"/>
              </w:rPr>
              <w:t xml:space="preserve">бюджетофинансируемые </w:t>
            </w:r>
          </w:p>
          <w:p>
            <w:pPr>
              <w:spacing w:before="20" w:after="20"/>
              <w:ind w:left="176"/>
              <w:rPr>
                <w:sz w:val="20"/>
                <w:szCs w:val="20"/>
              </w:rPr>
            </w:pPr>
            <w:r>
              <w:rPr>
                <w:sz w:val="20"/>
                <w:szCs w:val="20"/>
              </w:rPr>
              <w:t>организации</w:t>
            </w:r>
          </w:p>
        </w:tc>
        <w:tc>
          <w:tcPr>
            <w:tcW w:w="1134" w:type="dxa"/>
            <w:shd w:val="clear" w:color="auto" w:fill="auto"/>
            <w:vAlign w:val="center"/>
          </w:tcPr>
          <w:p>
            <w:pPr>
              <w:jc w:val="center"/>
            </w:pPr>
            <w:r>
              <w:rPr>
                <w:bCs/>
                <w:sz w:val="20"/>
                <w:szCs w:val="20"/>
              </w:rPr>
              <w:t>млн м</w:t>
            </w:r>
            <w:r>
              <w:rPr>
                <w:bCs/>
                <w:sz w:val="20"/>
                <w:szCs w:val="20"/>
                <w:vertAlign w:val="superscript"/>
              </w:rPr>
              <w:t>3</w:t>
            </w:r>
          </w:p>
        </w:tc>
        <w:tc>
          <w:tcPr>
            <w:tcW w:w="935" w:type="dxa"/>
            <w:shd w:val="clear" w:color="auto" w:fill="auto"/>
            <w:vAlign w:val="center"/>
          </w:tcPr>
          <w:p>
            <w:pPr>
              <w:jc w:val="center"/>
              <w:rPr>
                <w:sz w:val="20"/>
                <w:szCs w:val="20"/>
              </w:rPr>
            </w:pPr>
            <w:r>
              <w:rPr>
                <w:sz w:val="20"/>
                <w:szCs w:val="20"/>
              </w:rPr>
              <w:t>87,2</w:t>
            </w:r>
          </w:p>
        </w:tc>
        <w:tc>
          <w:tcPr>
            <w:tcW w:w="935" w:type="dxa"/>
            <w:shd w:val="clear" w:color="auto" w:fill="auto"/>
            <w:vAlign w:val="center"/>
          </w:tcPr>
          <w:p>
            <w:pPr>
              <w:jc w:val="center"/>
              <w:rPr>
                <w:sz w:val="20"/>
                <w:szCs w:val="20"/>
              </w:rPr>
            </w:pPr>
            <w:r>
              <w:rPr>
                <w:sz w:val="20"/>
                <w:szCs w:val="20"/>
              </w:rPr>
              <w:t>87,1</w:t>
            </w:r>
          </w:p>
        </w:tc>
        <w:tc>
          <w:tcPr>
            <w:tcW w:w="936" w:type="dxa"/>
            <w:shd w:val="clear" w:color="auto" w:fill="auto"/>
            <w:vAlign w:val="center"/>
          </w:tcPr>
          <w:p>
            <w:pPr>
              <w:jc w:val="center"/>
              <w:rPr>
                <w:sz w:val="20"/>
                <w:szCs w:val="20"/>
              </w:rPr>
            </w:pPr>
            <w:r>
              <w:rPr>
                <w:sz w:val="20"/>
                <w:szCs w:val="20"/>
              </w:rPr>
              <w:t>0,1</w:t>
            </w:r>
          </w:p>
        </w:tc>
        <w:tc>
          <w:tcPr>
            <w:tcW w:w="935" w:type="dxa"/>
            <w:vAlign w:val="center"/>
          </w:tcPr>
          <w:p>
            <w:pPr>
              <w:jc w:val="center"/>
              <w:rPr>
                <w:sz w:val="20"/>
                <w:szCs w:val="20"/>
              </w:rPr>
            </w:pPr>
            <w:r>
              <w:rPr>
                <w:sz w:val="20"/>
                <w:szCs w:val="20"/>
              </w:rPr>
              <w:t>0,1</w:t>
            </w:r>
          </w:p>
        </w:tc>
        <w:tc>
          <w:tcPr>
            <w:tcW w:w="936" w:type="dxa"/>
            <w:vAlign w:val="center"/>
          </w:tcPr>
          <w:p>
            <w:pPr>
              <w:jc w:val="center"/>
              <w:rPr>
                <w:sz w:val="20"/>
                <w:szCs w:val="20"/>
              </w:rPr>
            </w:pPr>
            <w:r>
              <w:rPr>
                <w:sz w:val="20"/>
                <w:szCs w:val="2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3261" w:type="dxa"/>
            <w:shd w:val="clear" w:color="auto" w:fill="auto"/>
            <w:vAlign w:val="center"/>
          </w:tcPr>
          <w:p>
            <w:pPr>
              <w:spacing w:before="20" w:after="20"/>
              <w:ind w:left="176"/>
              <w:rPr>
                <w:sz w:val="20"/>
                <w:szCs w:val="20"/>
              </w:rPr>
            </w:pPr>
            <w:r>
              <w:rPr>
                <w:sz w:val="20"/>
                <w:szCs w:val="20"/>
              </w:rPr>
              <w:t>прочие потребители</w:t>
            </w:r>
          </w:p>
        </w:tc>
        <w:tc>
          <w:tcPr>
            <w:tcW w:w="1134" w:type="dxa"/>
            <w:shd w:val="clear" w:color="auto" w:fill="auto"/>
            <w:vAlign w:val="center"/>
          </w:tcPr>
          <w:p>
            <w:pPr>
              <w:jc w:val="center"/>
            </w:pPr>
            <w:r>
              <w:rPr>
                <w:bCs/>
                <w:sz w:val="20"/>
                <w:szCs w:val="20"/>
              </w:rPr>
              <w:t>млн м</w:t>
            </w:r>
            <w:r>
              <w:rPr>
                <w:bCs/>
                <w:sz w:val="20"/>
                <w:szCs w:val="20"/>
                <w:vertAlign w:val="superscript"/>
              </w:rPr>
              <w:t>3</w:t>
            </w:r>
          </w:p>
        </w:tc>
        <w:tc>
          <w:tcPr>
            <w:tcW w:w="935" w:type="dxa"/>
            <w:shd w:val="clear" w:color="auto" w:fill="auto"/>
            <w:vAlign w:val="center"/>
          </w:tcPr>
          <w:p>
            <w:pPr>
              <w:jc w:val="center"/>
              <w:rPr>
                <w:sz w:val="20"/>
                <w:szCs w:val="20"/>
              </w:rPr>
            </w:pPr>
            <w:r>
              <w:rPr>
                <w:sz w:val="20"/>
                <w:szCs w:val="20"/>
              </w:rPr>
              <w:t>0,0</w:t>
            </w:r>
          </w:p>
        </w:tc>
        <w:tc>
          <w:tcPr>
            <w:tcW w:w="935" w:type="dxa"/>
            <w:shd w:val="clear" w:color="auto" w:fill="auto"/>
            <w:vAlign w:val="center"/>
          </w:tcPr>
          <w:p>
            <w:pPr>
              <w:jc w:val="center"/>
              <w:rPr>
                <w:sz w:val="20"/>
                <w:szCs w:val="20"/>
              </w:rPr>
            </w:pPr>
            <w:r>
              <w:rPr>
                <w:sz w:val="20"/>
                <w:szCs w:val="20"/>
              </w:rPr>
              <w:t>0,0</w:t>
            </w:r>
          </w:p>
        </w:tc>
        <w:tc>
          <w:tcPr>
            <w:tcW w:w="936" w:type="dxa"/>
            <w:shd w:val="clear" w:color="auto" w:fill="auto"/>
            <w:vAlign w:val="center"/>
          </w:tcPr>
          <w:p>
            <w:pPr>
              <w:jc w:val="center"/>
              <w:rPr>
                <w:sz w:val="20"/>
                <w:szCs w:val="20"/>
              </w:rPr>
            </w:pPr>
            <w:r>
              <w:rPr>
                <w:sz w:val="20"/>
                <w:szCs w:val="20"/>
              </w:rPr>
              <w:t>0,0</w:t>
            </w:r>
          </w:p>
        </w:tc>
        <w:tc>
          <w:tcPr>
            <w:tcW w:w="935" w:type="dxa"/>
            <w:vAlign w:val="center"/>
          </w:tcPr>
          <w:p>
            <w:pPr>
              <w:jc w:val="center"/>
              <w:rPr>
                <w:sz w:val="20"/>
                <w:szCs w:val="20"/>
              </w:rPr>
            </w:pPr>
            <w:r>
              <w:rPr>
                <w:sz w:val="20"/>
                <w:szCs w:val="20"/>
              </w:rPr>
              <w:t>0,0</w:t>
            </w:r>
          </w:p>
        </w:tc>
        <w:tc>
          <w:tcPr>
            <w:tcW w:w="936" w:type="dxa"/>
            <w:vAlign w:val="center"/>
          </w:tcPr>
          <w:p>
            <w:pPr>
              <w:jc w:val="center"/>
              <w:rPr>
                <w:sz w:val="20"/>
                <w:szCs w:val="20"/>
              </w:rPr>
            </w:pPr>
            <w:r>
              <w:rPr>
                <w:sz w:val="20"/>
                <w:szCs w:val="20"/>
              </w:rPr>
              <w:t>0,0</w:t>
            </w:r>
          </w:p>
        </w:tc>
      </w:tr>
    </w:tbl>
    <w:p>
      <w:pPr>
        <w:shd w:val="clear" w:color="auto" w:fill="FFFFFF"/>
        <w:spacing w:before="120" w:line="360" w:lineRule="auto"/>
        <w:jc w:val="both"/>
        <w:rPr>
          <w:color w:val="000000"/>
          <w:spacing w:val="-1"/>
          <w:sz w:val="28"/>
          <w:szCs w:val="28"/>
        </w:rPr>
      </w:pPr>
      <w:r>
        <w:rPr>
          <w:sz w:val="20"/>
          <w:szCs w:val="20"/>
        </w:rPr>
        <w:t xml:space="preserve">Источник: статистическая форма 22-ЖКХ (сводная). </w:t>
      </w:r>
    </w:p>
    <w:p>
      <w:pPr>
        <w:spacing w:line="360" w:lineRule="auto"/>
        <w:ind w:firstLine="567"/>
        <w:jc w:val="both"/>
        <w:rPr>
          <w:color w:val="000000"/>
          <w:sz w:val="28"/>
          <w:szCs w:val="28"/>
        </w:rPr>
      </w:pPr>
      <w:r>
        <w:rPr>
          <w:color w:val="000000"/>
          <w:sz w:val="28"/>
          <w:szCs w:val="28"/>
        </w:rPr>
        <w:t xml:space="preserve">Данные по потерям природного газа в сетях не были предоставлены газораспределительными организациями. Они могли быть оценены как разность между полученным объемом природного газа с газораспределительных станций и отпуском потребителям, но первые также не были предоставлены. Поэтому была сделана предпосылка, согласно которой потери составляют 1% от отпуска природного газа потребителям. </w:t>
      </w:r>
    </w:p>
    <w:p>
      <w:pPr>
        <w:spacing w:line="360" w:lineRule="auto"/>
        <w:ind w:firstLine="567"/>
        <w:jc w:val="both"/>
        <w:rPr>
          <w:color w:val="000000"/>
          <w:sz w:val="28"/>
          <w:szCs w:val="28"/>
          <w:vertAlign w:val="subscript"/>
        </w:rPr>
      </w:pPr>
      <w:r>
        <w:rPr>
          <w:color w:val="000000"/>
          <w:sz w:val="28"/>
          <w:szCs w:val="28"/>
        </w:rPr>
        <w:t>На основе предположения об объемах потерь природного газа в сетях была определена эмиссия метана в виде фугитивных выбросов. В 2017 г. она была оценена на уровне 1,4 тыс. т СО</w:t>
      </w:r>
      <w:r>
        <w:rPr>
          <w:color w:val="000000"/>
          <w:sz w:val="28"/>
          <w:szCs w:val="28"/>
          <w:vertAlign w:val="subscript"/>
        </w:rPr>
        <w:t xml:space="preserve">2-экв. </w:t>
      </w:r>
    </w:p>
    <w:p>
      <w:pPr>
        <w:spacing w:line="360" w:lineRule="auto"/>
        <w:ind w:firstLine="567"/>
        <w:jc w:val="both"/>
        <w:rPr>
          <w:color w:val="000000"/>
          <w:sz w:val="28"/>
          <w:szCs w:val="28"/>
        </w:rPr>
      </w:pPr>
      <w:r>
        <w:rPr>
          <w:color w:val="000000"/>
          <w:sz w:val="28"/>
          <w:szCs w:val="28"/>
        </w:rPr>
        <w:t xml:space="preserve">Согласно постановлению Правительства Московской области № 1047/43 от 9 ноября 2006 г. норматив потребления природного газа варьирует в зависимости от целей его использования и ряда других факторов (см. таблицу 2.5-2).  </w:t>
      </w:r>
    </w:p>
    <w:p>
      <w:pPr>
        <w:spacing w:line="360" w:lineRule="auto"/>
        <w:ind w:firstLine="567"/>
        <w:jc w:val="both"/>
        <w:rPr>
          <w:color w:val="000000"/>
          <w:sz w:val="28"/>
          <w:szCs w:val="28"/>
        </w:rPr>
      </w:pPr>
    </w:p>
    <w:p>
      <w:pPr>
        <w:spacing w:line="360" w:lineRule="auto"/>
        <w:jc w:val="both"/>
        <w:rPr>
          <w:b/>
          <w:color w:val="000000"/>
          <w:sz w:val="28"/>
          <w:szCs w:val="28"/>
        </w:rPr>
      </w:pPr>
      <w:r>
        <w:rPr>
          <w:b/>
          <w:color w:val="000000"/>
          <w:sz w:val="28"/>
          <w:szCs w:val="28"/>
        </w:rPr>
        <w:t>Таблица 2.5-2. Нормативы потребления природного газа</w:t>
      </w:r>
    </w:p>
    <w:tbl>
      <w:tblPr>
        <w:tblStyle w:val="100"/>
        <w:tblW w:w="9071" w:type="dxa"/>
        <w:tblInd w:w="0" w:type="dxa"/>
        <w:tblLayout w:type="fixed"/>
        <w:tblCellMar>
          <w:top w:w="0" w:type="dxa"/>
          <w:left w:w="0" w:type="dxa"/>
          <w:bottom w:w="0" w:type="dxa"/>
          <w:right w:w="0" w:type="dxa"/>
        </w:tblCellMar>
      </w:tblPr>
      <w:tblGrid>
        <w:gridCol w:w="585"/>
        <w:gridCol w:w="4659"/>
        <w:gridCol w:w="2357"/>
        <w:gridCol w:w="1470"/>
      </w:tblGrid>
      <w:tr>
        <w:tblPrEx>
          <w:tblLayout w:type="fixed"/>
          <w:tblCellMar>
            <w:top w:w="0" w:type="dxa"/>
            <w:left w:w="0" w:type="dxa"/>
            <w:bottom w:w="0" w:type="dxa"/>
            <w:right w:w="0" w:type="dxa"/>
          </w:tblCellMar>
        </w:tblPrEx>
        <w:trPr>
          <w:trHeight w:val="15" w:hRule="atLeast"/>
        </w:trPr>
        <w:tc>
          <w:tcPr>
            <w:tcW w:w="585" w:type="dxa"/>
            <w:vAlign w:val="center"/>
          </w:tcPr>
          <w:p>
            <w:pPr>
              <w:rPr>
                <w:sz w:val="2"/>
              </w:rPr>
            </w:pPr>
          </w:p>
        </w:tc>
        <w:tc>
          <w:tcPr>
            <w:tcW w:w="4659" w:type="dxa"/>
            <w:vAlign w:val="center"/>
          </w:tcPr>
          <w:p>
            <w:pPr>
              <w:rPr>
                <w:sz w:val="2"/>
              </w:rPr>
            </w:pPr>
          </w:p>
        </w:tc>
        <w:tc>
          <w:tcPr>
            <w:tcW w:w="2357" w:type="dxa"/>
            <w:vAlign w:val="center"/>
          </w:tcPr>
          <w:p>
            <w:pPr>
              <w:rPr>
                <w:sz w:val="2"/>
              </w:rPr>
            </w:pPr>
          </w:p>
        </w:tc>
        <w:tc>
          <w:tcPr>
            <w:tcW w:w="1470" w:type="dxa"/>
            <w:vAlign w:val="center"/>
          </w:tcPr>
          <w:p>
            <w:pPr>
              <w:rPr>
                <w:sz w:val="2"/>
              </w:rPr>
            </w:pP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b/>
                <w:color w:val="2D2D2D"/>
                <w:sz w:val="20"/>
                <w:szCs w:val="20"/>
              </w:rPr>
            </w:pPr>
            <w:r>
              <w:rPr>
                <w:b/>
                <w:color w:val="2D2D2D"/>
                <w:sz w:val="20"/>
                <w:szCs w:val="20"/>
              </w:rPr>
              <w:t>N п/п</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b/>
                <w:color w:val="2D2D2D"/>
                <w:sz w:val="20"/>
                <w:szCs w:val="20"/>
              </w:rPr>
            </w:pPr>
            <w:r>
              <w:rPr>
                <w:b/>
                <w:color w:val="2D2D2D"/>
                <w:sz w:val="20"/>
                <w:szCs w:val="20"/>
              </w:rPr>
              <w:t>Направления использования природного газа</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b/>
                <w:color w:val="2D2D2D"/>
                <w:sz w:val="20"/>
                <w:szCs w:val="20"/>
              </w:rPr>
            </w:pPr>
            <w:r>
              <w:rPr>
                <w:b/>
                <w:color w:val="2D2D2D"/>
                <w:sz w:val="20"/>
                <w:szCs w:val="20"/>
              </w:rPr>
              <w:t xml:space="preserve">Единица </w:t>
            </w:r>
          </w:p>
          <w:p>
            <w:pPr>
              <w:pStyle w:val="2417"/>
              <w:spacing w:before="20" w:beforeAutospacing="0" w:after="20" w:afterAutospacing="0"/>
              <w:jc w:val="center"/>
              <w:textAlignment w:val="baseline"/>
              <w:rPr>
                <w:b/>
                <w:color w:val="2D2D2D"/>
                <w:sz w:val="20"/>
                <w:szCs w:val="20"/>
              </w:rPr>
            </w:pPr>
            <w:r>
              <w:rPr>
                <w:b/>
                <w:color w:val="2D2D2D"/>
                <w:sz w:val="20"/>
                <w:szCs w:val="20"/>
              </w:rPr>
              <w:t>измерения</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b/>
                <w:color w:val="2D2D2D"/>
                <w:sz w:val="20"/>
                <w:szCs w:val="20"/>
              </w:rPr>
            </w:pPr>
            <w:r>
              <w:rPr>
                <w:b/>
                <w:color w:val="2D2D2D"/>
                <w:sz w:val="20"/>
                <w:szCs w:val="20"/>
              </w:rPr>
              <w:t>Нормативы потребления природного газа</w:t>
            </w: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1.</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textAlignment w:val="baseline"/>
              <w:rPr>
                <w:color w:val="2D2D2D"/>
                <w:sz w:val="20"/>
                <w:szCs w:val="20"/>
              </w:rPr>
            </w:pPr>
            <w:r>
              <w:rPr>
                <w:color w:val="2D2D2D"/>
                <w:sz w:val="20"/>
                <w:szCs w:val="20"/>
              </w:rPr>
              <w:t>Приготовление пищи и нагрев воды с использованием газовой плиты при наличии центрального отопления и центрального горячего водоснабжения</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куб.м/чел. (в месяц)</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10,00</w:t>
            </w: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2.</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textAlignment w:val="baseline"/>
              <w:rPr>
                <w:color w:val="2D2D2D"/>
                <w:sz w:val="20"/>
                <w:szCs w:val="20"/>
              </w:rPr>
            </w:pPr>
            <w:r>
              <w:rPr>
                <w:color w:val="2D2D2D"/>
                <w:sz w:val="20"/>
                <w:szCs w:val="20"/>
              </w:rPr>
              <w:t>Приготовление пищи и нагрев воды с использованием газовой плиты и газового водонагревателя при отсутствии центрального горячего водоснабжения</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куб.м/чел. (в месяц)</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23,10</w:t>
            </w: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3.</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textAlignment w:val="baseline"/>
              <w:rPr>
                <w:color w:val="2D2D2D"/>
                <w:sz w:val="20"/>
                <w:szCs w:val="20"/>
              </w:rPr>
            </w:pPr>
            <w:r>
              <w:rPr>
                <w:color w:val="2D2D2D"/>
                <w:sz w:val="20"/>
                <w:szCs w:val="20"/>
              </w:rPr>
              <w:t>Приготовление пищи и нагрев воды с использованием газовой плиты при отсутствии газового водонагревателя и центрального горячего водоснабжения</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куб.м/чел. (в месяц)</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11,60</w:t>
            </w: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4.</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textAlignment w:val="baseline"/>
              <w:rPr>
                <w:color w:val="2D2D2D"/>
                <w:sz w:val="20"/>
                <w:szCs w:val="20"/>
              </w:rPr>
            </w:pPr>
            <w:r>
              <w:rPr>
                <w:color w:val="2D2D2D"/>
                <w:sz w:val="20"/>
                <w:szCs w:val="20"/>
              </w:rPr>
              <w:t>Нагрев воды с использованием газового водонагревателя</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куб.м/чел. (в месяц)</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13,10</w:t>
            </w:r>
          </w:p>
        </w:tc>
      </w:tr>
      <w:tr>
        <w:tblPrEx>
          <w:tblLayout w:type="fixed"/>
          <w:tblCellMar>
            <w:top w:w="0" w:type="dxa"/>
            <w:left w:w="0" w:type="dxa"/>
            <w:bottom w:w="0" w:type="dxa"/>
            <w:right w:w="0" w:type="dxa"/>
          </w:tblCellMar>
        </w:tblPrEx>
        <w:tc>
          <w:tcPr>
            <w:tcW w:w="585"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5.</w:t>
            </w:r>
          </w:p>
        </w:tc>
        <w:tc>
          <w:tcPr>
            <w:tcW w:w="4659"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textAlignment w:val="baseline"/>
              <w:rPr>
                <w:color w:val="2D2D2D"/>
                <w:sz w:val="20"/>
                <w:szCs w:val="20"/>
              </w:rPr>
            </w:pPr>
            <w:r>
              <w:rPr>
                <w:color w:val="2D2D2D"/>
                <w:sz w:val="20"/>
                <w:szCs w:val="20"/>
              </w:rPr>
              <w:t>Индивидуальное (поквартирное) отопление жилых помещений (жилых домов, квартир, комнат)</w:t>
            </w:r>
          </w:p>
        </w:tc>
        <w:tc>
          <w:tcPr>
            <w:tcW w:w="235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куб.м/кв.м отапливаемой площади (в месяц)</w:t>
            </w:r>
          </w:p>
        </w:tc>
        <w:tc>
          <w:tcPr>
            <w:tcW w:w="1470"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pPr>
              <w:pStyle w:val="2417"/>
              <w:spacing w:before="20" w:beforeAutospacing="0" w:after="20" w:afterAutospacing="0"/>
              <w:jc w:val="center"/>
              <w:textAlignment w:val="baseline"/>
              <w:rPr>
                <w:color w:val="2D2D2D"/>
                <w:sz w:val="20"/>
                <w:szCs w:val="20"/>
              </w:rPr>
            </w:pPr>
            <w:r>
              <w:rPr>
                <w:color w:val="2D2D2D"/>
                <w:sz w:val="20"/>
                <w:szCs w:val="20"/>
              </w:rPr>
              <w:t>7,00</w:t>
            </w:r>
          </w:p>
        </w:tc>
      </w:tr>
    </w:tbl>
    <w:p>
      <w:pPr>
        <w:shd w:val="clear" w:color="auto" w:fill="FFFFFF"/>
        <w:spacing w:before="120" w:line="360" w:lineRule="auto"/>
        <w:ind w:firstLine="709"/>
        <w:jc w:val="both"/>
        <w:textAlignment w:val="baseline"/>
        <w:rPr>
          <w:color w:val="000000"/>
          <w:sz w:val="28"/>
          <w:szCs w:val="28"/>
        </w:rPr>
      </w:pPr>
      <w:r>
        <w:rPr>
          <w:color w:val="000000"/>
          <w:sz w:val="28"/>
          <w:szCs w:val="28"/>
        </w:rPr>
        <w:t>Генеральной схема газоснабжения Московской области на период до 2030 года, одобренной решением Межведомственной комиссии по вопросам энергообеспечения Московской области от 14.11.2013 №11 и программой Правительства Московской области "Развитие газификации в Московской области до 2017 года» (с изменениями на 16 сентября 2014 года), утвержденной постановлением Правительства Московской области от 20.12.2004 г. № 778/50 в ТУ Одинцово предусмотрены следующие мероприятия:</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закольцовка газопроводов высокого давления 1 категории, идущих от КРП-14 и КГМ, газопроводом высокого давления 1 категории d530 мм в районе н.п. Ромашково;</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перекладка газопровода высокого давления 1 категории в н.п. Лохино d108 мм на d426 мм;</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закольцовка газопроводов высокого давления 1 категории, идущих от КРП-14 и ГРС ПЯ-180 (г. Голицыно) в северной части г. Одинцово, газопроводом высокого давления 1 категории d530 мм;</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закольцовка газопроводов высокого давления 1 категории, идущих от КРП-14 и ГРС ПЯ-180 (г. Голицыно) в северной части г. Одинцово, газопроводом высокого давления 1 категории d530 мм;</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перекладка газопровода среднего давления в районе н.п. Акулово d89 мм на d159 мм;</w:t>
      </w:r>
    </w:p>
    <w:p>
      <w:pPr>
        <w:shd w:val="clear" w:color="auto" w:fill="FFFFFF"/>
        <w:tabs>
          <w:tab w:val="left" w:pos="1134"/>
        </w:tabs>
        <w:spacing w:line="360" w:lineRule="auto"/>
        <w:ind w:left="1134" w:hanging="567"/>
        <w:jc w:val="both"/>
        <w:textAlignment w:val="baseline"/>
        <w:rPr>
          <w:color w:val="000000"/>
          <w:sz w:val="28"/>
          <w:szCs w:val="28"/>
        </w:rPr>
      </w:pPr>
      <w:r>
        <w:rPr>
          <w:color w:val="000000"/>
          <w:sz w:val="28"/>
          <w:szCs w:val="28"/>
        </w:rPr>
        <w:t>−  </w:t>
      </w:r>
      <w:r>
        <w:rPr>
          <w:color w:val="000000"/>
          <w:sz w:val="28"/>
          <w:szCs w:val="28"/>
        </w:rPr>
        <w:tab/>
      </w:r>
      <w:r>
        <w:rPr>
          <w:color w:val="000000"/>
          <w:sz w:val="28"/>
          <w:szCs w:val="28"/>
        </w:rPr>
        <w:t>реконструкция ГРС «Одинцово» или строительство новой ГРС с проектной производительностью не менее 98 тыс. м3/ч в долгосрочной перспективе.</w:t>
      </w:r>
    </w:p>
    <w:p>
      <w:pPr>
        <w:spacing w:line="360" w:lineRule="auto"/>
        <w:ind w:firstLine="567"/>
        <w:jc w:val="both"/>
        <w:rPr>
          <w:color w:val="000000"/>
          <w:sz w:val="28"/>
          <w:szCs w:val="28"/>
        </w:rPr>
      </w:pPr>
      <w:r>
        <w:rPr>
          <w:color w:val="000000"/>
          <w:sz w:val="28"/>
          <w:szCs w:val="28"/>
        </w:rPr>
        <w:t xml:space="preserve">На основании полученных сведений по системе газоснабжения можно сделать следующие выводы: </w:t>
      </w:r>
    </w:p>
    <w:p>
      <w:pPr>
        <w:pStyle w:val="154"/>
        <w:numPr>
          <w:ilvl w:val="0"/>
          <w:numId w:val="47"/>
        </w:numPr>
        <w:spacing w:line="360" w:lineRule="auto"/>
        <w:ind w:left="1134" w:hanging="567"/>
        <w:jc w:val="both"/>
        <w:rPr>
          <w:color w:val="000000"/>
          <w:sz w:val="28"/>
          <w:szCs w:val="28"/>
        </w:rPr>
      </w:pPr>
      <w:r>
        <w:rPr>
          <w:color w:val="000000"/>
          <w:sz w:val="28"/>
          <w:szCs w:val="28"/>
        </w:rPr>
        <w:t xml:space="preserve">В муниципальном образовании отсутствует схема газоснабжения, в результате чего строительство сетей ведется без учета транзитных расходов природного газа, попутных потребителей и нужд населения. </w:t>
      </w:r>
    </w:p>
    <w:p>
      <w:pPr>
        <w:pStyle w:val="154"/>
        <w:numPr>
          <w:ilvl w:val="0"/>
          <w:numId w:val="47"/>
        </w:numPr>
        <w:spacing w:line="360" w:lineRule="auto"/>
        <w:ind w:left="1134" w:hanging="567"/>
        <w:jc w:val="both"/>
        <w:rPr>
          <w:color w:val="000000"/>
          <w:sz w:val="28"/>
          <w:szCs w:val="28"/>
        </w:rPr>
      </w:pPr>
      <w:r>
        <w:rPr>
          <w:color w:val="000000"/>
          <w:sz w:val="28"/>
          <w:szCs w:val="28"/>
        </w:rPr>
        <w:t xml:space="preserve">Не предоставление данных по газораспределительным станциям не дает возможности определить потребности в их реконструкции, модернизации, а также строительстве новых. </w:t>
      </w:r>
    </w:p>
    <w:p>
      <w:pPr>
        <w:pStyle w:val="154"/>
        <w:numPr>
          <w:ilvl w:val="0"/>
          <w:numId w:val="47"/>
        </w:numPr>
        <w:spacing w:line="360" w:lineRule="auto"/>
        <w:ind w:left="1134" w:hanging="567"/>
        <w:jc w:val="both"/>
        <w:rPr>
          <w:color w:val="000000"/>
          <w:sz w:val="28"/>
          <w:szCs w:val="28"/>
        </w:rPr>
      </w:pPr>
      <w:r>
        <w:rPr>
          <w:color w:val="000000"/>
          <w:sz w:val="28"/>
          <w:szCs w:val="28"/>
        </w:rPr>
        <w:t>Обеспеченность населения приборами учета относительно низкая и в перспективе следует ожидать ее повышения.</w:t>
      </w:r>
    </w:p>
    <w:p>
      <w:pPr>
        <w:spacing w:line="360" w:lineRule="auto"/>
        <w:ind w:firstLine="567"/>
        <w:jc w:val="both"/>
        <w:rPr>
          <w:color w:val="000000"/>
          <w:sz w:val="28"/>
          <w:szCs w:val="28"/>
        </w:rPr>
      </w:pPr>
      <w:r>
        <w:rPr>
          <w:color w:val="000000"/>
          <w:sz w:val="28"/>
          <w:szCs w:val="28"/>
        </w:rPr>
        <w:t>Принимая во внимание вышесказанное и ограниченные возможности по разработке полноценного набора мероприятий, в качестве основных направлений развития системы газоснабжения определены:</w:t>
      </w:r>
    </w:p>
    <w:p>
      <w:pPr>
        <w:pStyle w:val="154"/>
        <w:numPr>
          <w:ilvl w:val="0"/>
          <w:numId w:val="48"/>
        </w:numPr>
        <w:shd w:val="clear" w:color="auto" w:fill="FFFFFF"/>
        <w:tabs>
          <w:tab w:val="left" w:pos="1134"/>
        </w:tabs>
        <w:spacing w:line="360" w:lineRule="auto"/>
        <w:ind w:left="1134" w:hanging="567"/>
        <w:jc w:val="both"/>
        <w:rPr>
          <w:color w:val="000000"/>
          <w:spacing w:val="-1"/>
          <w:sz w:val="28"/>
          <w:szCs w:val="28"/>
        </w:rPr>
      </w:pPr>
      <w:r>
        <w:rPr>
          <w:color w:val="000000"/>
          <w:spacing w:val="-1"/>
          <w:sz w:val="28"/>
          <w:szCs w:val="28"/>
        </w:rPr>
        <w:t>реконструкция и модернизация газорегуляторных пунктов;</w:t>
      </w:r>
    </w:p>
    <w:p>
      <w:pPr>
        <w:pStyle w:val="154"/>
        <w:numPr>
          <w:ilvl w:val="0"/>
          <w:numId w:val="48"/>
        </w:numPr>
        <w:shd w:val="clear" w:color="auto" w:fill="FFFFFF"/>
        <w:tabs>
          <w:tab w:val="left" w:pos="1134"/>
        </w:tabs>
        <w:spacing w:line="360" w:lineRule="auto"/>
        <w:ind w:left="1134" w:hanging="567"/>
        <w:jc w:val="both"/>
        <w:rPr>
          <w:color w:val="000000"/>
          <w:spacing w:val="-1"/>
          <w:sz w:val="28"/>
          <w:szCs w:val="28"/>
        </w:rPr>
      </w:pPr>
      <w:r>
        <w:rPr>
          <w:color w:val="000000"/>
          <w:spacing w:val="-1"/>
          <w:sz w:val="28"/>
          <w:szCs w:val="28"/>
        </w:rPr>
        <w:t>реконструкция и модернизация шкафных распределительных устройств;</w:t>
      </w:r>
    </w:p>
    <w:p>
      <w:pPr>
        <w:pStyle w:val="154"/>
        <w:numPr>
          <w:ilvl w:val="0"/>
          <w:numId w:val="48"/>
        </w:numPr>
        <w:shd w:val="clear" w:color="auto" w:fill="FFFFFF"/>
        <w:tabs>
          <w:tab w:val="left" w:pos="1134"/>
        </w:tabs>
        <w:spacing w:line="360" w:lineRule="auto"/>
        <w:ind w:left="1134" w:hanging="567"/>
        <w:jc w:val="both"/>
        <w:rPr>
          <w:color w:val="000000"/>
          <w:spacing w:val="-1"/>
          <w:sz w:val="28"/>
          <w:szCs w:val="28"/>
        </w:rPr>
      </w:pPr>
      <w:r>
        <w:rPr>
          <w:color w:val="000000"/>
          <w:spacing w:val="-1"/>
          <w:sz w:val="28"/>
          <w:szCs w:val="28"/>
        </w:rPr>
        <w:t>замена стальных газопроводов на полиэтиленовые аналоги;</w:t>
      </w:r>
    </w:p>
    <w:p>
      <w:pPr>
        <w:spacing w:line="360" w:lineRule="auto"/>
        <w:ind w:firstLine="567"/>
        <w:jc w:val="both"/>
        <w:rPr>
          <w:color w:val="000000"/>
          <w:sz w:val="28"/>
          <w:szCs w:val="28"/>
        </w:rPr>
      </w:pPr>
      <w:r>
        <w:rPr>
          <w:color w:val="000000"/>
          <w:spacing w:val="-1"/>
          <w:sz w:val="28"/>
          <w:szCs w:val="28"/>
        </w:rPr>
        <w:t>замена газобаллонного оборудования.</w:t>
      </w:r>
    </w:p>
    <w:p>
      <w:pPr>
        <w:pStyle w:val="3"/>
        <w:pBdr>
          <w:bottom w:val="single" w:color="auto" w:sz="4" w:space="1"/>
        </w:pBdr>
        <w:tabs>
          <w:tab w:val="left" w:pos="1276"/>
        </w:tabs>
        <w:spacing w:before="0" w:after="200"/>
        <w:ind w:left="1288"/>
        <w:rPr>
          <w:rFonts w:ascii="Times New Roman" w:hAnsi="Times New Roman"/>
          <w:i w:val="0"/>
          <w:color w:val="000000"/>
          <w:sz w:val="30"/>
          <w:szCs w:val="30"/>
        </w:rPr>
      </w:pP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6" w:name="_Toc21015044"/>
      <w:r>
        <w:rPr>
          <w:rFonts w:ascii="Times New Roman" w:hAnsi="Times New Roman"/>
          <w:i w:val="0"/>
          <w:color w:val="000000"/>
          <w:sz w:val="30"/>
          <w:szCs w:val="30"/>
        </w:rPr>
        <w:t>Анализ финасового состояния</w:t>
      </w:r>
      <w:bookmarkEnd w:id="26"/>
    </w:p>
    <w:p>
      <w:pPr>
        <w:spacing w:line="360" w:lineRule="auto"/>
        <w:ind w:firstLine="567"/>
        <w:jc w:val="both"/>
        <w:rPr>
          <w:color w:val="000000"/>
          <w:sz w:val="28"/>
          <w:szCs w:val="28"/>
        </w:rPr>
      </w:pPr>
      <w:r>
        <w:rPr>
          <w:color w:val="000000"/>
          <w:sz w:val="28"/>
          <w:szCs w:val="28"/>
        </w:rPr>
        <w:t xml:space="preserve">Возможности по финансовому анализу сектора газоснабжения сильно ограничены. Во-первых, финансовые показатели не отображаются в форме 22-ЖКХ (сводная). Во-вторых, деятельность газоснабжающей компании носит экстерриториальный характер, в результате чего невозможно вычленить из ее данных сведения, касающиеся непосредственно ТУ Одинцово. </w:t>
      </w:r>
    </w:p>
    <w:p>
      <w:pPr>
        <w:autoSpaceDE w:val="0"/>
        <w:autoSpaceDN w:val="0"/>
        <w:adjustRightInd w:val="0"/>
        <w:spacing w:line="360" w:lineRule="auto"/>
        <w:ind w:firstLine="708"/>
        <w:jc w:val="both"/>
        <w:rPr>
          <w:color w:val="000000"/>
          <w:sz w:val="28"/>
          <w:szCs w:val="28"/>
        </w:rPr>
      </w:pPr>
      <w:r>
        <w:rPr>
          <w:color w:val="000000"/>
          <w:sz w:val="28"/>
          <w:szCs w:val="28"/>
        </w:rPr>
        <w:t>Розничная цена на природный газ, реализуемый населению, зависит от целей его использования (пищеприготовление, нагрев воды и т.п.), степени обеспеченности газовым оборудованием и наличия приборов учета. Ее значения с 1 июля 2018 г. представлены в таблице 2.5-3.</w:t>
      </w:r>
    </w:p>
    <w:p>
      <w:pPr>
        <w:pStyle w:val="639"/>
        <w:spacing w:line="360" w:lineRule="auto"/>
        <w:ind w:firstLine="0"/>
        <w:rPr>
          <w:rFonts w:ascii="Times New Roman" w:hAnsi="Times New Roman"/>
          <w:sz w:val="28"/>
          <w:szCs w:val="28"/>
        </w:rPr>
      </w:pPr>
      <w:r>
        <w:rPr>
          <w:rFonts w:ascii="Times New Roman" w:hAnsi="Times New Roman"/>
          <w:sz w:val="28"/>
          <w:szCs w:val="28"/>
        </w:rPr>
        <w:t>Таблица 2.5-3. Тарифы на природный газ в 2018 г. для населения (с НДС)</w:t>
      </w:r>
    </w:p>
    <w:tbl>
      <w:tblPr>
        <w:tblStyle w:val="100"/>
        <w:tblW w:w="9084" w:type="dxa"/>
        <w:tblInd w:w="0" w:type="dxa"/>
        <w:tblLayout w:type="fixed"/>
        <w:tblCellMar>
          <w:top w:w="15" w:type="dxa"/>
          <w:left w:w="15" w:type="dxa"/>
          <w:bottom w:w="15" w:type="dxa"/>
          <w:right w:w="15" w:type="dxa"/>
        </w:tblCellMar>
      </w:tblPr>
      <w:tblGrid>
        <w:gridCol w:w="6232"/>
        <w:gridCol w:w="1426"/>
        <w:gridCol w:w="1426"/>
      </w:tblGrid>
      <w:tr>
        <w:tblPrEx>
          <w:tblLayout w:type="fixed"/>
          <w:tblCellMar>
            <w:top w:w="15" w:type="dxa"/>
            <w:left w:w="15" w:type="dxa"/>
            <w:bottom w:w="15" w:type="dxa"/>
            <w:right w:w="15" w:type="dxa"/>
          </w:tblCellMar>
        </w:tblPrEx>
        <w:trPr>
          <w:tblHeader/>
        </w:trPr>
        <w:tc>
          <w:tcPr>
            <w:tcW w:w="6232" w:type="dxa"/>
            <w:vMerge w:val="restart"/>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color w:val="222222"/>
                <w:sz w:val="20"/>
                <w:szCs w:val="20"/>
              </w:rPr>
              <w:t>Направления использования газа населением</w:t>
            </w:r>
          </w:p>
        </w:tc>
        <w:tc>
          <w:tcPr>
            <w:tcW w:w="2852" w:type="dxa"/>
            <w:gridSpan w:val="2"/>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color w:val="222222"/>
                <w:sz w:val="20"/>
                <w:szCs w:val="20"/>
              </w:rPr>
              <w:t>руб./куб.м</w:t>
            </w:r>
          </w:p>
        </w:tc>
      </w:tr>
      <w:tr>
        <w:tblPrEx>
          <w:tblLayout w:type="fixed"/>
          <w:tblCellMar>
            <w:top w:w="15" w:type="dxa"/>
            <w:left w:w="15" w:type="dxa"/>
            <w:bottom w:w="15" w:type="dxa"/>
            <w:right w:w="15" w:type="dxa"/>
          </w:tblCellMar>
        </w:tblPrEx>
        <w:trPr>
          <w:tblHeader/>
        </w:trPr>
        <w:tc>
          <w:tcPr>
            <w:tcW w:w="62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222222"/>
                <w:sz w:val="20"/>
                <w:szCs w:val="20"/>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color w:val="222222"/>
                <w:sz w:val="20"/>
                <w:szCs w:val="20"/>
              </w:rPr>
              <w:t>1 полугодие</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color w:val="222222"/>
                <w:sz w:val="20"/>
                <w:szCs w:val="20"/>
              </w:rPr>
              <w:t>2 полугодие</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Приготовление пищи и нагрев воды с использованием газовой плиты (в отсутствие других направлений использования газа) руб./куб. м</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6,14</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6,35</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5,43</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5,61</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Отопление с одновременным использованием газа по направлениям, указанным в пунктах 1, 2 настоящего Прейскуранта</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5,341</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5,523</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Индивидуальное (поквартирное) отопление жилых помещений (жилых домов, квартир, комнат) сверх стандарта нормативной площади жилого помещения при отсутствии приборов учета газа</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6,427</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6,632</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Отопление нежилых помещений при отсутствии приборов учета газа</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6,638</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6,638</w:t>
            </w:r>
          </w:p>
        </w:tc>
      </w:tr>
      <w:tr>
        <w:tblPrEx>
          <w:tblLayout w:type="fixed"/>
          <w:tblCellMar>
            <w:top w:w="15" w:type="dxa"/>
            <w:left w:w="15" w:type="dxa"/>
            <w:bottom w:w="15" w:type="dxa"/>
            <w:right w:w="15" w:type="dxa"/>
          </w:tblCellMar>
        </w:tblPrEx>
        <w:tc>
          <w:tcPr>
            <w:tcW w:w="6232"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rPr>
                <w:color w:val="222222"/>
                <w:sz w:val="20"/>
                <w:szCs w:val="20"/>
              </w:rPr>
            </w:pPr>
            <w:r>
              <w:rPr>
                <w:color w:val="222222"/>
                <w:sz w:val="20"/>
                <w:szCs w:val="20"/>
              </w:rPr>
              <w:t>Отопление и (или) выработка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5,185</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36" w:type="dxa"/>
              <w:left w:w="36" w:type="dxa"/>
              <w:bottom w:w="36" w:type="dxa"/>
              <w:right w:w="36" w:type="dxa"/>
            </w:tcMar>
            <w:vAlign w:val="center"/>
          </w:tcPr>
          <w:p>
            <w:pPr>
              <w:jc w:val="center"/>
              <w:rPr>
                <w:color w:val="222222"/>
                <w:sz w:val="20"/>
                <w:szCs w:val="20"/>
              </w:rPr>
            </w:pPr>
            <w:r>
              <w:rPr>
                <w:bCs/>
                <w:color w:val="111111"/>
                <w:sz w:val="20"/>
                <w:szCs w:val="20"/>
              </w:rPr>
              <w:t>5,362</w:t>
            </w:r>
          </w:p>
        </w:tc>
      </w:tr>
    </w:tbl>
    <w:p>
      <w:pPr>
        <w:spacing w:before="120" w:after="120"/>
        <w:jc w:val="both"/>
        <w:rPr>
          <w:color w:val="000000"/>
          <w:spacing w:val="-1"/>
          <w:sz w:val="28"/>
          <w:szCs w:val="28"/>
        </w:rPr>
      </w:pPr>
      <w:r>
        <w:rPr>
          <w:sz w:val="20"/>
          <w:szCs w:val="20"/>
        </w:rPr>
        <w:t>Источник: Распоряжение Комитета по ценам и тарифам Московской области № 110-р от 20 июня 2018 г.</w:t>
      </w:r>
    </w:p>
    <w:p>
      <w:pPr>
        <w:autoSpaceDE w:val="0"/>
        <w:autoSpaceDN w:val="0"/>
        <w:adjustRightInd w:val="0"/>
        <w:spacing w:line="360" w:lineRule="auto"/>
        <w:ind w:firstLine="567"/>
        <w:jc w:val="both"/>
        <w:rPr>
          <w:color w:val="000000"/>
          <w:sz w:val="28"/>
          <w:szCs w:val="28"/>
        </w:rPr>
      </w:pPr>
      <w:r>
        <w:rPr>
          <w:color w:val="000000"/>
          <w:sz w:val="28"/>
          <w:szCs w:val="28"/>
        </w:rPr>
        <w:t xml:space="preserve">Розничная цена на природный газ, реализуемый прочим потребителям (кроме населения), складывается из оптовой цены, платы за транзит и применения различного рода надбавок, устанавливаемых регулирующими органами. </w:t>
      </w:r>
    </w:p>
    <w:p>
      <w:pPr>
        <w:autoSpaceDE w:val="0"/>
        <w:autoSpaceDN w:val="0"/>
        <w:adjustRightInd w:val="0"/>
        <w:spacing w:line="360" w:lineRule="auto"/>
        <w:ind w:firstLine="567"/>
        <w:jc w:val="both"/>
        <w:rPr>
          <w:color w:val="000000"/>
          <w:sz w:val="28"/>
          <w:szCs w:val="28"/>
        </w:rPr>
      </w:pPr>
      <w:r>
        <w:rPr>
          <w:color w:val="000000"/>
          <w:sz w:val="28"/>
          <w:szCs w:val="28"/>
        </w:rPr>
        <w:t xml:space="preserve">Плата за транзит устанавливается в зависимости от принадлежности к той или ной группе от годовых объемов его использования и компании, осуществляющей транзит.  Дополнительно в цене газа учитываются плата за снабженческо-сбытовые услуги и специальная надбавка. </w:t>
      </w:r>
    </w:p>
    <w:p>
      <w:pPr>
        <w:autoSpaceDE w:val="0"/>
        <w:autoSpaceDN w:val="0"/>
        <w:adjustRightInd w:val="0"/>
        <w:spacing w:line="360" w:lineRule="auto"/>
        <w:ind w:firstLine="567"/>
        <w:jc w:val="both"/>
        <w:rPr>
          <w:color w:val="000000"/>
          <w:sz w:val="28"/>
          <w:szCs w:val="28"/>
        </w:rPr>
      </w:pPr>
      <w:r>
        <w:rPr>
          <w:color w:val="000000"/>
          <w:sz w:val="28"/>
          <w:szCs w:val="28"/>
        </w:rPr>
        <w:t xml:space="preserve">На 2019 год установлена плата за технологическое присоединение газоиспользующего оборудования к сетям газораспределения в размере 64947,83 (с НДС) за объект, при выполнении следующих проектных условий: </w:t>
      </w:r>
    </w:p>
    <w:p>
      <w:pPr>
        <w:pStyle w:val="154"/>
        <w:numPr>
          <w:ilvl w:val="0"/>
          <w:numId w:val="49"/>
        </w:numPr>
        <w:tabs>
          <w:tab w:val="left" w:pos="1134"/>
        </w:tabs>
        <w:spacing w:line="360" w:lineRule="auto"/>
        <w:ind w:left="1134" w:hanging="567"/>
        <w:jc w:val="both"/>
        <w:rPr>
          <w:bCs/>
          <w:sz w:val="28"/>
          <w:szCs w:val="28"/>
        </w:rPr>
      </w:pPr>
      <w:r>
        <w:rPr>
          <w:bCs/>
          <w:sz w:val="28"/>
          <w:szCs w:val="28"/>
        </w:rPr>
        <w:t>значение максимального расхода газа не превышает 15 куб. м в час;</w:t>
      </w:r>
    </w:p>
    <w:p>
      <w:pPr>
        <w:pStyle w:val="154"/>
        <w:numPr>
          <w:ilvl w:val="0"/>
          <w:numId w:val="49"/>
        </w:numPr>
        <w:tabs>
          <w:tab w:val="left" w:pos="1134"/>
        </w:tabs>
        <w:spacing w:line="360" w:lineRule="auto"/>
        <w:ind w:left="1134" w:hanging="567"/>
        <w:jc w:val="both"/>
        <w:rPr>
          <w:bCs/>
          <w:sz w:val="28"/>
          <w:szCs w:val="28"/>
        </w:rPr>
      </w:pPr>
      <w:r>
        <w:rPr>
          <w:bCs/>
          <w:sz w:val="28"/>
          <w:szCs w:val="28"/>
        </w:rPr>
        <w:t xml:space="preserve">давление не превышает 0,3 МПа; </w:t>
      </w:r>
    </w:p>
    <w:p>
      <w:pPr>
        <w:pStyle w:val="154"/>
        <w:numPr>
          <w:ilvl w:val="0"/>
          <w:numId w:val="49"/>
        </w:numPr>
        <w:tabs>
          <w:tab w:val="left" w:pos="1134"/>
        </w:tabs>
        <w:spacing w:line="360" w:lineRule="auto"/>
        <w:ind w:left="1134" w:hanging="567"/>
        <w:jc w:val="both"/>
        <w:rPr>
          <w:bCs/>
          <w:sz w:val="28"/>
          <w:szCs w:val="28"/>
        </w:rPr>
      </w:pPr>
      <w:r>
        <w:rPr>
          <w:bCs/>
          <w:sz w:val="28"/>
          <w:szCs w:val="28"/>
        </w:rPr>
        <w:t>протяженность газовой сети по прямой линии не превышает 200 м;</w:t>
      </w:r>
    </w:p>
    <w:p>
      <w:pPr>
        <w:pStyle w:val="154"/>
        <w:numPr>
          <w:ilvl w:val="0"/>
          <w:numId w:val="49"/>
        </w:numPr>
        <w:tabs>
          <w:tab w:val="left" w:pos="1134"/>
        </w:tabs>
        <w:spacing w:line="360" w:lineRule="auto"/>
        <w:ind w:left="1134" w:hanging="567"/>
        <w:jc w:val="both"/>
        <w:rPr>
          <w:bCs/>
          <w:sz w:val="28"/>
          <w:szCs w:val="28"/>
        </w:rPr>
      </w:pPr>
      <w:r>
        <w:rPr>
          <w:bCs/>
          <w:sz w:val="28"/>
          <w:szCs w:val="28"/>
        </w:rPr>
        <w:t>не предполагается строительство устройств редуцирования.</w:t>
      </w:r>
    </w:p>
    <w:p>
      <w:pPr>
        <w:autoSpaceDE w:val="0"/>
        <w:autoSpaceDN w:val="0"/>
        <w:adjustRightInd w:val="0"/>
        <w:spacing w:line="360" w:lineRule="auto"/>
        <w:ind w:firstLine="567"/>
        <w:jc w:val="both"/>
        <w:rPr>
          <w:color w:val="000000"/>
          <w:sz w:val="28"/>
        </w:rPr>
      </w:pPr>
      <w:r>
        <w:rPr>
          <w:color w:val="000000"/>
          <w:sz w:val="28"/>
        </w:rPr>
        <w:t xml:space="preserve">Кроме того, установлены следующие стандартизированные ставки (см. таблицы 2.5-4- 2.5-7). </w:t>
      </w:r>
    </w:p>
    <w:p>
      <w:pPr>
        <w:pStyle w:val="639"/>
        <w:spacing w:line="360" w:lineRule="auto"/>
        <w:ind w:firstLine="0"/>
        <w:rPr>
          <w:rFonts w:ascii="Times New Roman" w:hAnsi="Times New Roman"/>
          <w:sz w:val="28"/>
          <w:szCs w:val="28"/>
        </w:rPr>
      </w:pPr>
      <w:r>
        <w:rPr>
          <w:rFonts w:ascii="Times New Roman" w:hAnsi="Times New Roman"/>
          <w:sz w:val="28"/>
          <w:szCs w:val="28"/>
        </w:rPr>
        <w:t>Таблица 2.5-4. Стандартизированные тарифные ставки на покрытие расходов АО «Мособлгаз», связанных со строительством стального газопровода i-того диапазона диаметров и j-того типа прокладки, используемые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АО «Мособлгаз», составляет более 150 метров (без НДС)</w:t>
      </w:r>
    </w:p>
    <w:tbl>
      <w:tblPr>
        <w:tblStyle w:val="100"/>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58"/>
        <w:gridCol w:w="2072"/>
        <w:gridCol w:w="6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Header/>
        </w:trPr>
        <w:tc>
          <w:tcPr>
            <w:tcW w:w="758" w:type="dxa"/>
            <w:shd w:val="clear" w:color="auto" w:fill="FFFFFF"/>
            <w:tcMar>
              <w:top w:w="75" w:type="dxa"/>
              <w:left w:w="105" w:type="dxa"/>
              <w:bottom w:w="75" w:type="dxa"/>
              <w:right w:w="105" w:type="dxa"/>
            </w:tcMar>
            <w:vAlign w:val="center"/>
          </w:tcPr>
          <w:p>
            <w:pPr>
              <w:spacing w:before="20" w:after="20"/>
              <w:jc w:val="center"/>
              <w:rPr>
                <w:b/>
                <w:bCs/>
                <w:color w:val="000000"/>
                <w:sz w:val="20"/>
                <w:szCs w:val="20"/>
              </w:rPr>
            </w:pPr>
            <w:r>
              <w:rPr>
                <w:b/>
                <w:bCs/>
                <w:color w:val="000000"/>
                <w:sz w:val="20"/>
                <w:szCs w:val="20"/>
              </w:rPr>
              <w:t>№ п/п</w:t>
            </w:r>
          </w:p>
        </w:tc>
        <w:tc>
          <w:tcPr>
            <w:tcW w:w="2072" w:type="dxa"/>
            <w:shd w:val="clear" w:color="auto" w:fill="FFFFFF"/>
            <w:tcMar>
              <w:top w:w="75" w:type="dxa"/>
              <w:left w:w="105" w:type="dxa"/>
              <w:bottom w:w="75" w:type="dxa"/>
              <w:right w:w="105" w:type="dxa"/>
            </w:tcMar>
            <w:vAlign w:val="center"/>
          </w:tcPr>
          <w:p>
            <w:pPr>
              <w:spacing w:before="20" w:after="20"/>
              <w:jc w:val="center"/>
              <w:rPr>
                <w:b/>
                <w:bCs/>
                <w:color w:val="000000"/>
                <w:sz w:val="20"/>
                <w:szCs w:val="20"/>
              </w:rPr>
            </w:pPr>
            <w:r>
              <w:rPr>
                <w:b/>
                <w:bCs/>
                <w:color w:val="000000"/>
                <w:sz w:val="20"/>
                <w:szCs w:val="20"/>
              </w:rPr>
              <w:t>Показатели</w:t>
            </w:r>
          </w:p>
        </w:tc>
        <w:tc>
          <w:tcPr>
            <w:tcW w:w="6234" w:type="dxa"/>
            <w:shd w:val="clear" w:color="auto" w:fill="FFFFFF"/>
            <w:tcMar>
              <w:top w:w="75" w:type="dxa"/>
              <w:left w:w="105" w:type="dxa"/>
              <w:bottom w:w="75" w:type="dxa"/>
              <w:right w:w="105" w:type="dxa"/>
            </w:tcMar>
            <w:vAlign w:val="center"/>
          </w:tcPr>
          <w:p>
            <w:pPr>
              <w:spacing w:before="20" w:after="20"/>
              <w:jc w:val="center"/>
              <w:rPr>
                <w:b/>
                <w:bCs/>
                <w:color w:val="000000"/>
                <w:sz w:val="20"/>
                <w:szCs w:val="20"/>
              </w:rPr>
            </w:pPr>
            <w:r>
              <w:rPr>
                <w:b/>
                <w:bCs/>
                <w:color w:val="000000"/>
                <w:sz w:val="20"/>
                <w:szCs w:val="20"/>
              </w:rPr>
              <w:t>Стандартизированные тарифные ставки,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p>
        </w:tc>
        <w:tc>
          <w:tcPr>
            <w:tcW w:w="8306" w:type="dxa"/>
            <w:gridSpan w:val="2"/>
            <w:shd w:val="clear" w:color="auto" w:fill="FFFFFF"/>
            <w:tcMar>
              <w:top w:w="75" w:type="dxa"/>
              <w:left w:w="105" w:type="dxa"/>
              <w:bottom w:w="75" w:type="dxa"/>
              <w:right w:w="105" w:type="dxa"/>
            </w:tcMar>
            <w:vAlign w:val="center"/>
          </w:tcPr>
          <w:p>
            <w:pPr>
              <w:spacing w:before="20" w:after="20"/>
              <w:rPr>
                <w:b/>
                <w:color w:val="000000"/>
                <w:sz w:val="20"/>
                <w:szCs w:val="20"/>
              </w:rPr>
            </w:pPr>
            <w:r>
              <w:rPr>
                <w:b/>
                <w:color w:val="000000"/>
                <w:sz w:val="20"/>
                <w:szCs w:val="20"/>
              </w:rPr>
              <w:t>Стальные газопроводы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b/>
                <w:i/>
                <w:color w:val="000000"/>
                <w:sz w:val="20"/>
                <w:szCs w:val="20"/>
              </w:rPr>
            </w:pPr>
            <w:r>
              <w:rPr>
                <w:b/>
                <w:i/>
                <w:color w:val="000000"/>
                <w:sz w:val="20"/>
                <w:szCs w:val="20"/>
              </w:rPr>
              <w:t>1</w:t>
            </w:r>
          </w:p>
        </w:tc>
        <w:tc>
          <w:tcPr>
            <w:tcW w:w="8306" w:type="dxa"/>
            <w:gridSpan w:val="2"/>
            <w:shd w:val="clear" w:color="auto" w:fill="F5F5F5"/>
            <w:tcMar>
              <w:top w:w="75" w:type="dxa"/>
              <w:left w:w="105" w:type="dxa"/>
              <w:bottom w:w="75" w:type="dxa"/>
              <w:right w:w="105" w:type="dxa"/>
            </w:tcMar>
            <w:vAlign w:val="center"/>
          </w:tcPr>
          <w:p>
            <w:pPr>
              <w:spacing w:before="20" w:after="20"/>
              <w:rPr>
                <w:b/>
                <w:i/>
                <w:color w:val="000000"/>
                <w:sz w:val="20"/>
                <w:szCs w:val="20"/>
              </w:rPr>
            </w:pPr>
            <w:r>
              <w:rPr>
                <w:b/>
                <w:i/>
                <w:color w:val="000000"/>
                <w:sz w:val="20"/>
                <w:szCs w:val="20"/>
              </w:rPr>
              <w:t>Надземная прокладка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1.1</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158 мм и менее</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2 342 161,47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1.2</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159-218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2 868 202,78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1.3</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219-272 мм</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3 227 187,21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1.4</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273-324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4 208 339,66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1.5</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325-425 мм</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5 051 271,08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1.6</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426-529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12 703 903,53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1.7</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530 мм и выше</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17 878 082,25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b/>
                <w:i/>
                <w:color w:val="000000"/>
                <w:sz w:val="20"/>
                <w:szCs w:val="20"/>
              </w:rPr>
            </w:pPr>
            <w:r>
              <w:rPr>
                <w:b/>
                <w:i/>
                <w:color w:val="000000"/>
                <w:sz w:val="20"/>
                <w:szCs w:val="20"/>
              </w:rPr>
              <w:t>2</w:t>
            </w:r>
          </w:p>
        </w:tc>
        <w:tc>
          <w:tcPr>
            <w:tcW w:w="8306" w:type="dxa"/>
            <w:gridSpan w:val="2"/>
            <w:shd w:val="clear" w:color="auto" w:fill="F5F5F5"/>
            <w:tcMar>
              <w:top w:w="75" w:type="dxa"/>
              <w:left w:w="105" w:type="dxa"/>
              <w:bottom w:w="75" w:type="dxa"/>
              <w:right w:w="105" w:type="dxa"/>
            </w:tcMar>
            <w:vAlign w:val="center"/>
          </w:tcPr>
          <w:p>
            <w:pPr>
              <w:spacing w:before="20" w:after="20"/>
              <w:rPr>
                <w:b/>
                <w:i/>
                <w:color w:val="000000"/>
                <w:sz w:val="20"/>
                <w:szCs w:val="20"/>
              </w:rPr>
            </w:pPr>
            <w:r>
              <w:rPr>
                <w:b/>
                <w:i/>
                <w:color w:val="000000"/>
                <w:sz w:val="20"/>
                <w:szCs w:val="20"/>
              </w:rPr>
              <w:t>Подземная прокладка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2.1</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158 мм и менее</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5 730 728,79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2.2</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159-218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6 325 491,28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2.3</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219-272 мм</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7 350 340,13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2.4</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273-324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8 739 585,93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2.5</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325-425 мм</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9 293 769,89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2.6</w:t>
            </w:r>
          </w:p>
        </w:tc>
        <w:tc>
          <w:tcPr>
            <w:tcW w:w="2072" w:type="dxa"/>
            <w:shd w:val="clear" w:color="auto" w:fill="F5F5F5"/>
            <w:tcMar>
              <w:top w:w="75" w:type="dxa"/>
              <w:left w:w="105" w:type="dxa"/>
              <w:bottom w:w="75" w:type="dxa"/>
              <w:right w:w="105" w:type="dxa"/>
            </w:tcMar>
            <w:vAlign w:val="center"/>
          </w:tcPr>
          <w:p>
            <w:pPr>
              <w:spacing w:before="20" w:after="20"/>
              <w:rPr>
                <w:color w:val="000000"/>
                <w:sz w:val="20"/>
                <w:szCs w:val="20"/>
              </w:rPr>
            </w:pPr>
            <w:r>
              <w:rPr>
                <w:color w:val="000000"/>
                <w:sz w:val="20"/>
                <w:szCs w:val="20"/>
              </w:rPr>
              <w:t>426-529 мм</w:t>
            </w:r>
          </w:p>
        </w:tc>
        <w:tc>
          <w:tcPr>
            <w:tcW w:w="6234" w:type="dxa"/>
            <w:shd w:val="clear" w:color="auto" w:fill="F5F5F5"/>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13 503 813,26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8"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2.7</w:t>
            </w:r>
          </w:p>
        </w:tc>
        <w:tc>
          <w:tcPr>
            <w:tcW w:w="2072" w:type="dxa"/>
            <w:shd w:val="clear" w:color="auto" w:fill="FFFFFF"/>
            <w:tcMar>
              <w:top w:w="75" w:type="dxa"/>
              <w:left w:w="105" w:type="dxa"/>
              <w:bottom w:w="75" w:type="dxa"/>
              <w:right w:w="105" w:type="dxa"/>
            </w:tcMar>
            <w:vAlign w:val="center"/>
          </w:tcPr>
          <w:p>
            <w:pPr>
              <w:spacing w:before="20" w:after="20"/>
              <w:rPr>
                <w:color w:val="000000"/>
                <w:sz w:val="20"/>
                <w:szCs w:val="20"/>
              </w:rPr>
            </w:pPr>
            <w:r>
              <w:rPr>
                <w:color w:val="000000"/>
                <w:sz w:val="20"/>
                <w:szCs w:val="20"/>
              </w:rPr>
              <w:t>530 мм и выше</w:t>
            </w:r>
          </w:p>
        </w:tc>
        <w:tc>
          <w:tcPr>
            <w:tcW w:w="6234" w:type="dxa"/>
            <w:shd w:val="clear" w:color="auto" w:fill="FFFFFF"/>
            <w:tcMar>
              <w:top w:w="75" w:type="dxa"/>
              <w:left w:w="105" w:type="dxa"/>
              <w:bottom w:w="75" w:type="dxa"/>
              <w:right w:w="105" w:type="dxa"/>
            </w:tcMar>
            <w:vAlign w:val="center"/>
          </w:tcPr>
          <w:p>
            <w:pPr>
              <w:spacing w:before="20" w:after="20"/>
              <w:jc w:val="center"/>
              <w:rPr>
                <w:color w:val="000000"/>
                <w:sz w:val="20"/>
                <w:szCs w:val="20"/>
              </w:rPr>
            </w:pPr>
            <w:r>
              <w:rPr>
                <w:color w:val="000000"/>
                <w:sz w:val="20"/>
                <w:szCs w:val="20"/>
              </w:rPr>
              <w:t>18 725 403,24</w:t>
            </w:r>
          </w:p>
        </w:tc>
      </w:tr>
    </w:tbl>
    <w:p>
      <w:pPr>
        <w:pStyle w:val="639"/>
        <w:spacing w:before="120" w:line="360" w:lineRule="auto"/>
        <w:ind w:firstLine="0"/>
        <w:rPr>
          <w:rFonts w:ascii="Times New Roman" w:hAnsi="Times New Roman"/>
          <w:sz w:val="28"/>
          <w:szCs w:val="28"/>
        </w:rPr>
      </w:pPr>
      <w:r>
        <w:rPr>
          <w:rFonts w:ascii="Times New Roman" w:hAnsi="Times New Roman"/>
          <w:sz w:val="28"/>
          <w:szCs w:val="28"/>
        </w:rPr>
        <w:t>Таблица 2.5-5. Стандартизированные тарифные ставки на покрытие расходов АО «Мособлгаз», связанных со строительством (реконструкцией) полиэтиленового газопровода k-того диапазона диаметров, используемых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АО «Мособлгаз», составляет более 150 метров (без НДС)</w:t>
      </w:r>
    </w:p>
    <w:tbl>
      <w:tblPr>
        <w:tblStyle w:val="10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35"/>
        <w:gridCol w:w="1995"/>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Header/>
        </w:trPr>
        <w:tc>
          <w:tcPr>
            <w:tcW w:w="835"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 п/п</w:t>
            </w:r>
          </w:p>
        </w:tc>
        <w:tc>
          <w:tcPr>
            <w:tcW w:w="1995"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Показатели</w:t>
            </w:r>
          </w:p>
        </w:tc>
        <w:tc>
          <w:tcPr>
            <w:tcW w:w="6237"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Стандартизированные тарифные ставки,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FFFFF"/>
            <w:tcMar>
              <w:top w:w="75" w:type="dxa"/>
              <w:left w:w="105" w:type="dxa"/>
              <w:bottom w:w="75" w:type="dxa"/>
              <w:right w:w="105" w:type="dxa"/>
            </w:tcMar>
            <w:vAlign w:val="center"/>
          </w:tcPr>
          <w:p>
            <w:pPr>
              <w:jc w:val="center"/>
              <w:rPr>
                <w:b/>
                <w:color w:val="000000"/>
                <w:sz w:val="20"/>
                <w:szCs w:val="20"/>
              </w:rPr>
            </w:pPr>
            <w:r>
              <w:rPr>
                <w:b/>
                <w:color w:val="000000"/>
                <w:sz w:val="20"/>
                <w:szCs w:val="20"/>
              </w:rPr>
              <w:t>1</w:t>
            </w:r>
          </w:p>
        </w:tc>
        <w:tc>
          <w:tcPr>
            <w:tcW w:w="8232" w:type="dxa"/>
            <w:gridSpan w:val="2"/>
            <w:shd w:val="clear" w:color="auto" w:fill="FFFFFF"/>
            <w:tcMar>
              <w:top w:w="75" w:type="dxa"/>
              <w:left w:w="105" w:type="dxa"/>
              <w:bottom w:w="75" w:type="dxa"/>
              <w:right w:w="105" w:type="dxa"/>
            </w:tcMar>
            <w:vAlign w:val="center"/>
          </w:tcPr>
          <w:p>
            <w:pPr>
              <w:rPr>
                <w:b/>
                <w:color w:val="000000"/>
                <w:sz w:val="20"/>
                <w:szCs w:val="20"/>
              </w:rPr>
            </w:pPr>
            <w:r>
              <w:rPr>
                <w:b/>
                <w:color w:val="000000"/>
                <w:sz w:val="20"/>
                <w:szCs w:val="20"/>
              </w:rPr>
              <w:t>Полиэтиленовые газопроводы: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1.1</w:t>
            </w:r>
          </w:p>
        </w:tc>
        <w:tc>
          <w:tcPr>
            <w:tcW w:w="1995"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109 мм и менее</w:t>
            </w:r>
          </w:p>
        </w:tc>
        <w:tc>
          <w:tcPr>
            <w:tcW w:w="6237"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4 578 356,44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1.2</w:t>
            </w:r>
          </w:p>
        </w:tc>
        <w:tc>
          <w:tcPr>
            <w:tcW w:w="1995"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110-159 мм</w:t>
            </w:r>
          </w:p>
        </w:tc>
        <w:tc>
          <w:tcPr>
            <w:tcW w:w="6237"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5 320 624,66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w:t>
            </w:r>
          </w:p>
        </w:tc>
        <w:tc>
          <w:tcPr>
            <w:tcW w:w="1995"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160-224 мм</w:t>
            </w:r>
          </w:p>
        </w:tc>
        <w:tc>
          <w:tcPr>
            <w:tcW w:w="6237"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6 471 575,20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1.4</w:t>
            </w:r>
          </w:p>
        </w:tc>
        <w:tc>
          <w:tcPr>
            <w:tcW w:w="1995"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225-314 мм</w:t>
            </w:r>
          </w:p>
        </w:tc>
        <w:tc>
          <w:tcPr>
            <w:tcW w:w="6237"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8 842 280,47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1.5</w:t>
            </w:r>
          </w:p>
        </w:tc>
        <w:tc>
          <w:tcPr>
            <w:tcW w:w="1995"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315-399 мм</w:t>
            </w:r>
          </w:p>
        </w:tc>
        <w:tc>
          <w:tcPr>
            <w:tcW w:w="6237"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13 023 835,20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35"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1.6</w:t>
            </w:r>
          </w:p>
        </w:tc>
        <w:tc>
          <w:tcPr>
            <w:tcW w:w="1995"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400 мм и выше</w:t>
            </w:r>
          </w:p>
        </w:tc>
        <w:tc>
          <w:tcPr>
            <w:tcW w:w="6237"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19 116 965,86</w:t>
            </w:r>
          </w:p>
        </w:tc>
      </w:tr>
    </w:tbl>
    <w:p>
      <w:pPr>
        <w:pStyle w:val="639"/>
        <w:spacing w:before="120" w:line="360" w:lineRule="auto"/>
        <w:ind w:firstLine="0"/>
        <w:rPr>
          <w:rFonts w:ascii="Times New Roman" w:hAnsi="Times New Roman"/>
          <w:sz w:val="28"/>
          <w:szCs w:val="28"/>
        </w:rPr>
      </w:pPr>
      <w:r>
        <w:rPr>
          <w:rFonts w:ascii="Times New Roman" w:hAnsi="Times New Roman"/>
          <w:sz w:val="28"/>
          <w:szCs w:val="28"/>
        </w:rPr>
        <w:t>Таблица 2.5-6. Стандартизированные тарифные ставки на покрытие расходов АО «Мособлгаз», связанных со строительством (реконструкцией) газорегуляторных пунктов n-ного диапазона максимального часового расхода газа (без НДС)</w:t>
      </w:r>
    </w:p>
    <w:tbl>
      <w:tblPr>
        <w:tblStyle w:val="100"/>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59"/>
        <w:gridCol w:w="3769"/>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759"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 п/п</w:t>
            </w:r>
          </w:p>
        </w:tc>
        <w:tc>
          <w:tcPr>
            <w:tcW w:w="3769"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Показатели</w:t>
            </w:r>
          </w:p>
        </w:tc>
        <w:tc>
          <w:tcPr>
            <w:tcW w:w="4678"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Стандартизированные тарифные ставки, руб./м3 в 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1.1</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до 40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4 808,77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1.2</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40 - 99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2 543,10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1.3</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100 - 399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6 336,42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1.4</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400 - 999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2 268,70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1.5</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1000 - 1999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1 916,62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1.6</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2 000 - 2 999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1 255,13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1.7</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3000 - 3999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928,65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1.8</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4000 - 4999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2 276,42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5000 - 9999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1 680,72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1.10</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10000 - 19999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910,95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1.11</w:t>
            </w:r>
          </w:p>
        </w:tc>
        <w:tc>
          <w:tcPr>
            <w:tcW w:w="3769"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20000 - 29999 куб. метров в час</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5118,32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59"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1.12</w:t>
            </w:r>
          </w:p>
        </w:tc>
        <w:tc>
          <w:tcPr>
            <w:tcW w:w="3769"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30000 и выше куб. метров в час</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482,49</w:t>
            </w:r>
          </w:p>
        </w:tc>
      </w:tr>
    </w:tbl>
    <w:p>
      <w:pPr>
        <w:pStyle w:val="639"/>
        <w:spacing w:before="120" w:line="360" w:lineRule="auto"/>
        <w:ind w:firstLine="0"/>
        <w:rPr>
          <w:rFonts w:ascii="Times New Roman" w:hAnsi="Times New Roman"/>
          <w:sz w:val="28"/>
          <w:szCs w:val="28"/>
        </w:rPr>
      </w:pPr>
      <w:r>
        <w:rPr>
          <w:rFonts w:ascii="Times New Roman" w:hAnsi="Times New Roman"/>
          <w:sz w:val="28"/>
          <w:szCs w:val="28"/>
        </w:rPr>
        <w:t>Таблица 2.5-7. Стандартизированные тарифные ставки на покрытие расходов АО «Мособлгаз», связанных с проверкой выполнения технических условий заявителем, осуществляющим фактическое подключение (технологическое присоединение) объектов капитального строительства заявителя к сети газораспределения посредством осуществления комплекса технических мероприятий, обеспечивающих физическое соединение (контакт) объектов исполнителя и стального газопровода АО «Мособлгаз» i-того диапазона диаметров, (полиэтиленового газопровода АО «Мособлгаз» k-того диапазона диаметров),и проведением пуска газа (без НДС)</w:t>
      </w:r>
    </w:p>
    <w:tbl>
      <w:tblPr>
        <w:tblStyle w:val="100"/>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83"/>
        <w:gridCol w:w="3848"/>
        <w:gridCol w:w="4678"/>
      </w:tblGrid>
      <w:tr>
        <w:tblPrEx>
          <w:tblLayout w:type="fixed"/>
          <w:tblCellMar>
            <w:top w:w="0" w:type="dxa"/>
            <w:left w:w="0" w:type="dxa"/>
            <w:bottom w:w="0" w:type="dxa"/>
            <w:right w:w="0" w:type="dxa"/>
          </w:tblCellMar>
        </w:tblPrEx>
        <w:trPr>
          <w:tblHeader/>
        </w:trPr>
        <w:tc>
          <w:tcPr>
            <w:tcW w:w="683"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 п/п</w:t>
            </w:r>
          </w:p>
        </w:tc>
        <w:tc>
          <w:tcPr>
            <w:tcW w:w="3848"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Показатели</w:t>
            </w:r>
          </w:p>
        </w:tc>
        <w:tc>
          <w:tcPr>
            <w:tcW w:w="4678" w:type="dxa"/>
            <w:shd w:val="clear" w:color="auto" w:fill="FFFFFF"/>
            <w:tcMar>
              <w:top w:w="75" w:type="dxa"/>
              <w:left w:w="105" w:type="dxa"/>
              <w:bottom w:w="75" w:type="dxa"/>
              <w:right w:w="105" w:type="dxa"/>
            </w:tcMar>
            <w:vAlign w:val="center"/>
          </w:tcPr>
          <w:p>
            <w:pPr>
              <w:jc w:val="center"/>
              <w:rPr>
                <w:b/>
                <w:bCs/>
                <w:color w:val="000000"/>
                <w:sz w:val="20"/>
                <w:szCs w:val="20"/>
              </w:rPr>
            </w:pPr>
            <w:r>
              <w:rPr>
                <w:b/>
                <w:bCs/>
                <w:color w:val="000000"/>
                <w:sz w:val="20"/>
                <w:szCs w:val="20"/>
              </w:rPr>
              <w:t>Стандартизированные тарифные ставки, руб./на подключение</w:t>
            </w:r>
          </w:p>
        </w:tc>
      </w:tr>
      <w:tr>
        <w:tblPrEx>
          <w:shd w:val="clear" w:color="auto" w:fill="FFFFFF"/>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b/>
                <w:color w:val="000000"/>
                <w:sz w:val="20"/>
                <w:szCs w:val="20"/>
              </w:rPr>
            </w:pPr>
            <w:r>
              <w:rPr>
                <w:b/>
                <w:color w:val="000000"/>
                <w:sz w:val="20"/>
                <w:szCs w:val="20"/>
              </w:rPr>
              <w:t>1</w:t>
            </w:r>
          </w:p>
        </w:tc>
        <w:tc>
          <w:tcPr>
            <w:tcW w:w="8526" w:type="dxa"/>
            <w:gridSpan w:val="2"/>
            <w:shd w:val="clear" w:color="auto" w:fill="FFFFFF"/>
            <w:tcMar>
              <w:top w:w="75" w:type="dxa"/>
              <w:left w:w="105" w:type="dxa"/>
              <w:bottom w:w="75" w:type="dxa"/>
              <w:right w:w="105" w:type="dxa"/>
            </w:tcMar>
            <w:vAlign w:val="center"/>
          </w:tcPr>
          <w:p>
            <w:pPr>
              <w:rPr>
                <w:b/>
                <w:color w:val="000000"/>
                <w:sz w:val="20"/>
                <w:szCs w:val="20"/>
              </w:rPr>
            </w:pPr>
            <w:r>
              <w:rPr>
                <w:b/>
                <w:color w:val="000000"/>
                <w:sz w:val="20"/>
                <w:szCs w:val="20"/>
              </w:rPr>
              <w:t>Стальные газопроводы: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158 мм и менее,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96 545,54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1.1.1.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1.1.2.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93 758,54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159-218 мм, в том числе: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146 403,86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1.2.1.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shd w:val="clear" w:color="auto" w:fill="FFFFFF"/>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1.2.2.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143 616,86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219-272 мм,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176 042,35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1.3.1.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173 255,35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1.4</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273-324 мм, в том числе: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198 116,65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1.4.1.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1.4.2.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195 329,65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1.5</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325-425 мм,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212 999,16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1.5.1.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1.5.2.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210 212,16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1.6</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426-529 мм, в том числе: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197 136,72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1.6.1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1.6.2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194 349,72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1.7</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530 мм и выше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223 306,11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1.7.1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1.7.2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220 519,11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b/>
                <w:color w:val="000000"/>
                <w:sz w:val="20"/>
                <w:szCs w:val="20"/>
              </w:rPr>
            </w:pPr>
            <w:r>
              <w:rPr>
                <w:b/>
                <w:color w:val="000000"/>
                <w:sz w:val="20"/>
                <w:szCs w:val="20"/>
              </w:rPr>
              <w:t>2</w:t>
            </w:r>
          </w:p>
        </w:tc>
        <w:tc>
          <w:tcPr>
            <w:tcW w:w="8526" w:type="dxa"/>
            <w:gridSpan w:val="2"/>
            <w:shd w:val="clear" w:color="auto" w:fill="FFFFFF"/>
            <w:tcMar>
              <w:top w:w="75" w:type="dxa"/>
              <w:left w:w="105" w:type="dxa"/>
              <w:bottom w:w="75" w:type="dxa"/>
              <w:right w:w="105" w:type="dxa"/>
            </w:tcMar>
            <w:vAlign w:val="center"/>
          </w:tcPr>
          <w:p>
            <w:pPr>
              <w:rPr>
                <w:b/>
                <w:color w:val="000000"/>
                <w:sz w:val="20"/>
                <w:szCs w:val="20"/>
              </w:rPr>
            </w:pPr>
            <w:r>
              <w:rPr>
                <w:b/>
                <w:color w:val="000000"/>
                <w:sz w:val="20"/>
                <w:szCs w:val="20"/>
              </w:rPr>
              <w:t>Полиэтиленовые газопроводы: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109 мм и менее,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38 479,62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2.1.1.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2.1.2.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36 195,62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110 - 159 мм, в том числе: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71 059,78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2.2.1.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2.2.2.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68 272,78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2.3</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160 - 224 мм,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92 043,71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2.3.1.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2.3.2.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89 256,71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2.4</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225 - 314 мм, в том числе: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128 790,13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2.4.1.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2.4.2.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126 003,13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2.5</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315 - 399 мм, в том числе:</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135 942,72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2.5.1.</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2.5.2.</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133 155,72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2.6</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400 мм и выше</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242 740,94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c>
          <w:tcPr>
            <w:tcW w:w="683"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2.6.1.</w:t>
            </w:r>
          </w:p>
        </w:tc>
        <w:tc>
          <w:tcPr>
            <w:tcW w:w="3848" w:type="dxa"/>
            <w:shd w:val="clear" w:color="auto" w:fill="F5F5F5"/>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проверкой выполнения Заявителем технических условий</w:t>
            </w:r>
          </w:p>
        </w:tc>
        <w:tc>
          <w:tcPr>
            <w:tcW w:w="4678" w:type="dxa"/>
            <w:shd w:val="clear" w:color="auto" w:fill="F5F5F5"/>
            <w:tcMar>
              <w:top w:w="75" w:type="dxa"/>
              <w:left w:w="105" w:type="dxa"/>
              <w:bottom w:w="75" w:type="dxa"/>
              <w:right w:w="105" w:type="dxa"/>
            </w:tcMar>
            <w:vAlign w:val="center"/>
          </w:tcPr>
          <w:p>
            <w:pPr>
              <w:jc w:val="center"/>
              <w:rPr>
                <w:color w:val="000000"/>
                <w:sz w:val="20"/>
                <w:szCs w:val="20"/>
              </w:rPr>
            </w:pPr>
            <w:r>
              <w:rPr>
                <w:color w:val="000000"/>
                <w:sz w:val="20"/>
                <w:szCs w:val="20"/>
              </w:rPr>
              <w:t>2 787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683"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2.6.2.</w:t>
            </w:r>
          </w:p>
        </w:tc>
        <w:tc>
          <w:tcPr>
            <w:tcW w:w="3848" w:type="dxa"/>
            <w:shd w:val="clear" w:color="auto" w:fill="FFFFFF"/>
            <w:tcMar>
              <w:top w:w="75" w:type="dxa"/>
              <w:left w:w="105" w:type="dxa"/>
              <w:bottom w:w="75" w:type="dxa"/>
              <w:right w:w="105" w:type="dxa"/>
            </w:tcMar>
            <w:vAlign w:val="center"/>
          </w:tcPr>
          <w:p>
            <w:pPr>
              <w:rPr>
                <w:color w:val="000000"/>
                <w:sz w:val="20"/>
                <w:szCs w:val="20"/>
              </w:rPr>
            </w:pPr>
            <w:r>
              <w:rPr>
                <w:color w:val="000000"/>
                <w:sz w:val="20"/>
                <w:szCs w:val="20"/>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w:t>
            </w:r>
          </w:p>
        </w:tc>
        <w:tc>
          <w:tcPr>
            <w:tcW w:w="4678" w:type="dxa"/>
            <w:shd w:val="clear" w:color="auto" w:fill="FFFFFF"/>
            <w:tcMar>
              <w:top w:w="75" w:type="dxa"/>
              <w:left w:w="105" w:type="dxa"/>
              <w:bottom w:w="75" w:type="dxa"/>
              <w:right w:w="105" w:type="dxa"/>
            </w:tcMar>
            <w:vAlign w:val="center"/>
          </w:tcPr>
          <w:p>
            <w:pPr>
              <w:jc w:val="center"/>
              <w:rPr>
                <w:color w:val="000000"/>
                <w:sz w:val="20"/>
                <w:szCs w:val="20"/>
              </w:rPr>
            </w:pPr>
            <w:r>
              <w:rPr>
                <w:color w:val="000000"/>
                <w:sz w:val="20"/>
                <w:szCs w:val="20"/>
              </w:rPr>
              <w:t>239 953,94</w:t>
            </w:r>
          </w:p>
        </w:tc>
      </w:tr>
    </w:tbl>
    <w:p>
      <w:pPr>
        <w:autoSpaceDE w:val="0"/>
        <w:autoSpaceDN w:val="0"/>
        <w:adjustRightInd w:val="0"/>
        <w:spacing w:line="360" w:lineRule="auto"/>
        <w:ind w:firstLine="567"/>
        <w:jc w:val="both"/>
        <w:rPr>
          <w:color w:val="000000"/>
          <w:sz w:val="28"/>
          <w:szCs w:val="28"/>
        </w:rPr>
      </w:pPr>
      <w:r>
        <w:rPr>
          <w:color w:val="000000"/>
          <w:sz w:val="28"/>
          <w:szCs w:val="28"/>
        </w:rPr>
        <w:t xml:space="preserve"> </w:t>
      </w:r>
    </w:p>
    <w:p>
      <w:pPr>
        <w:pStyle w:val="3"/>
        <w:numPr>
          <w:ilvl w:val="1"/>
          <w:numId w:val="30"/>
        </w:numPr>
        <w:pBdr>
          <w:bottom w:val="single" w:color="auto" w:sz="4" w:space="1"/>
        </w:pBdr>
        <w:tabs>
          <w:tab w:val="left" w:pos="1276"/>
        </w:tabs>
        <w:spacing w:before="0" w:after="200"/>
        <w:ind w:hanging="721"/>
        <w:rPr>
          <w:rFonts w:ascii="Times New Roman" w:hAnsi="Times New Roman"/>
          <w:i w:val="0"/>
          <w:color w:val="000000"/>
          <w:sz w:val="30"/>
          <w:szCs w:val="30"/>
        </w:rPr>
      </w:pPr>
      <w:bookmarkStart w:id="27" w:name="_Toc21015045"/>
      <w:r>
        <w:rPr>
          <w:rFonts w:ascii="Times New Roman" w:hAnsi="Times New Roman"/>
          <w:i w:val="0"/>
          <w:color w:val="000000"/>
          <w:sz w:val="30"/>
          <w:szCs w:val="30"/>
        </w:rPr>
        <w:t>Краткий анализ существующего состояния системы обращения твердых коммунальных отходов</w:t>
      </w:r>
      <w:bookmarkEnd w:id="27"/>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8" w:name="_Toc21015046"/>
      <w:r>
        <w:rPr>
          <w:rFonts w:ascii="Times New Roman" w:hAnsi="Times New Roman"/>
          <w:i w:val="0"/>
          <w:color w:val="000000"/>
          <w:sz w:val="30"/>
          <w:szCs w:val="30"/>
        </w:rPr>
        <w:t>Организационная структура</w:t>
      </w:r>
      <w:bookmarkEnd w:id="28"/>
    </w:p>
    <w:p>
      <w:pPr>
        <w:spacing w:line="360" w:lineRule="auto"/>
        <w:ind w:firstLine="567"/>
        <w:jc w:val="both"/>
        <w:rPr>
          <w:color w:val="000000"/>
          <w:sz w:val="28"/>
        </w:rPr>
      </w:pPr>
      <w:r>
        <w:rPr>
          <w:color w:val="000000"/>
          <w:sz w:val="28"/>
        </w:rPr>
        <w:t xml:space="preserve">  Размещением, утилизацией и обезвреживанием твердых коммунальных отходов занимаются специализированные организации, которые имеет договора с компаниями, осуществляющими сбор и вывоз городского мусора.  В свою очередь, данные компании имеют договора на вывоз мусора с юридическими лицами, в т.ч. управляющими компаниями, обслуживающими жилищный фонд; прямые договора на сбор и вывоз твердых коммунальных отходов с населением не заключаются. </w:t>
      </w:r>
    </w:p>
    <w:p>
      <w:pPr>
        <w:spacing w:line="360" w:lineRule="auto"/>
        <w:ind w:firstLine="567"/>
        <w:jc w:val="both"/>
        <w:rPr>
          <w:color w:val="000000"/>
          <w:sz w:val="28"/>
        </w:rPr>
      </w:pPr>
      <w:r>
        <w:rPr>
          <w:color w:val="000000"/>
          <w:sz w:val="28"/>
        </w:rPr>
        <w:t xml:space="preserve">Титульный список организаций, осуществляющих деятельность в сфере обращения твердых коммунальных отходов, по запросу ООО «ЦТЭС» предоставлен не был. </w:t>
      </w:r>
    </w:p>
    <w:p>
      <w:pPr>
        <w:spacing w:line="360" w:lineRule="auto"/>
        <w:ind w:firstLine="567"/>
        <w:jc w:val="both"/>
        <w:rPr>
          <w:color w:val="000000"/>
          <w:sz w:val="28"/>
        </w:rPr>
      </w:pPr>
      <w:r>
        <w:rPr>
          <w:iCs/>
          <w:color w:val="000000"/>
          <w:sz w:val="28"/>
        </w:rPr>
        <w:t>Во исполнение требований федерального законодательства для осуществления деятельности по сбору, транспортированию, обработке, утилизации, обезвреживанию и захоронению твердых коммунальных на территории было заключено соглашение с ООО «Рузский региональный оператор», в соответствии с которым последнее было</w:t>
      </w:r>
      <w:r>
        <w:rPr>
          <w:color w:val="000000"/>
          <w:sz w:val="28"/>
        </w:rPr>
        <w:t xml:space="preserve"> наделено статусом регионального оператора по обращению с ТКО и начиная с 1 января 2019 г. осуществляет деятельность с применением единого тарифа. </w:t>
      </w:r>
    </w:p>
    <w:p>
      <w:pPr>
        <w:spacing w:line="360" w:lineRule="auto"/>
        <w:ind w:firstLine="567"/>
        <w:jc w:val="both"/>
        <w:rPr>
          <w:color w:val="000000"/>
          <w:sz w:val="28"/>
        </w:rPr>
      </w:pPr>
      <w:r>
        <w:rPr>
          <w:color w:val="000000"/>
          <w:sz w:val="28"/>
        </w:rPr>
        <w:t xml:space="preserve">Таким образом: </w:t>
      </w:r>
    </w:p>
    <w:p>
      <w:pPr>
        <w:pStyle w:val="154"/>
        <w:numPr>
          <w:ilvl w:val="0"/>
          <w:numId w:val="50"/>
        </w:numPr>
        <w:spacing w:line="360" w:lineRule="auto"/>
        <w:ind w:left="1134" w:hanging="567"/>
        <w:jc w:val="both"/>
        <w:rPr>
          <w:color w:val="000000"/>
          <w:sz w:val="28"/>
        </w:rPr>
      </w:pPr>
      <w:r>
        <w:rPr>
          <w:color w:val="000000"/>
          <w:sz w:val="28"/>
        </w:rPr>
        <w:t>в отношении физических лиц договор будет заключаться с ответственным квартиросъемщиком, который является собственником объекта недвижимости, а цена договора (плата за коммунальную услугу по обращению с ТКО) будет формироваться из единого тарифа на услугу регионального оператора и количества зарегистрированных граждан;</w:t>
      </w:r>
    </w:p>
    <w:p>
      <w:pPr>
        <w:pStyle w:val="154"/>
        <w:numPr>
          <w:ilvl w:val="0"/>
          <w:numId w:val="50"/>
        </w:numPr>
        <w:spacing w:line="360" w:lineRule="auto"/>
        <w:ind w:left="1134" w:hanging="567"/>
        <w:jc w:val="both"/>
        <w:rPr>
          <w:color w:val="000000"/>
          <w:sz w:val="28"/>
        </w:rPr>
      </w:pPr>
      <w:r>
        <w:rPr>
          <w:color w:val="000000"/>
          <w:sz w:val="28"/>
        </w:rPr>
        <w:t>в отношении юридических лиц и индивидуальных предпринимателей цена договора будет формироваться из единого тарифа на услугу регионального оператора и норматива накопления ТКО, действующего на территории Московской области.</w:t>
      </w:r>
    </w:p>
    <w:p>
      <w:pPr>
        <w:spacing w:line="360" w:lineRule="auto"/>
        <w:ind w:firstLine="567"/>
        <w:jc w:val="both"/>
        <w:rPr>
          <w:bCs/>
          <w:sz w:val="28"/>
          <w:szCs w:val="28"/>
        </w:rPr>
      </w:pPr>
      <w:r>
        <w:rPr>
          <w:color w:val="000000"/>
          <w:sz w:val="28"/>
        </w:rPr>
        <w:t> Кроме этого выставлять счета на оплату услуги по обращению с ТКО имеет право теперь только региональный оператор. Соответственно, ранее заключенные договора и иные соглашения на оказание услуг по обращению твердых коммунальных отходов с 1 января 2019 г. утрачивают юридическую силу. </w:t>
      </w: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29" w:name="_Toc21015047"/>
      <w:r>
        <w:rPr>
          <w:rFonts w:ascii="Times New Roman" w:hAnsi="Times New Roman"/>
          <w:i w:val="0"/>
          <w:color w:val="000000"/>
          <w:sz w:val="30"/>
          <w:szCs w:val="30"/>
        </w:rPr>
        <w:t>Анализ технического состояни</w:t>
      </w:r>
      <w:bookmarkEnd w:id="29"/>
    </w:p>
    <w:p>
      <w:pPr>
        <w:spacing w:line="360" w:lineRule="auto"/>
        <w:ind w:firstLine="567"/>
        <w:jc w:val="both"/>
        <w:rPr>
          <w:color w:val="000000"/>
          <w:spacing w:val="-1"/>
          <w:sz w:val="28"/>
          <w:szCs w:val="28"/>
        </w:rPr>
      </w:pPr>
      <w:r>
        <w:rPr>
          <w:color w:val="000000"/>
          <w:spacing w:val="-1"/>
          <w:sz w:val="28"/>
          <w:szCs w:val="28"/>
        </w:rPr>
        <w:t>Согласно статистической форме 1-МО объем образованных твердых отходов составил 886,4</w:t>
      </w:r>
      <w:r>
        <w:rPr>
          <w:rStyle w:val="90"/>
          <w:color w:val="000000"/>
          <w:spacing w:val="-1"/>
          <w:sz w:val="28"/>
          <w:szCs w:val="28"/>
        </w:rPr>
        <w:footnoteReference w:id="0"/>
      </w:r>
      <w:r>
        <w:rPr>
          <w:color w:val="000000"/>
          <w:spacing w:val="-1"/>
          <w:sz w:val="28"/>
          <w:szCs w:val="28"/>
        </w:rPr>
        <w:t xml:space="preserve"> тыс. куб. м. </w:t>
      </w:r>
    </w:p>
    <w:p>
      <w:pPr>
        <w:spacing w:line="360" w:lineRule="auto"/>
        <w:ind w:firstLine="567"/>
        <w:jc w:val="both"/>
        <w:rPr>
          <w:color w:val="000000"/>
          <w:spacing w:val="-1"/>
          <w:sz w:val="28"/>
          <w:szCs w:val="28"/>
        </w:rPr>
      </w:pPr>
      <w:r>
        <w:rPr>
          <w:color w:val="000000"/>
          <w:spacing w:val="-1"/>
          <w:sz w:val="28"/>
          <w:szCs w:val="28"/>
        </w:rPr>
        <w:t xml:space="preserve">Объемы захороненных (утилизированных) твердых коммунальных отходов могли бы быть определены согласно статистической форме 22-ЖКХ (сводная), однако необходимая информация в ней отсутствовала. </w:t>
      </w:r>
    </w:p>
    <w:p>
      <w:pPr>
        <w:spacing w:line="360" w:lineRule="auto"/>
        <w:ind w:firstLine="567"/>
        <w:jc w:val="both"/>
        <w:rPr>
          <w:color w:val="000000"/>
          <w:spacing w:val="-1"/>
          <w:sz w:val="28"/>
          <w:szCs w:val="28"/>
        </w:rPr>
      </w:pPr>
      <w:r>
        <w:rPr>
          <w:color w:val="000000"/>
          <w:sz w:val="28"/>
          <w:szCs w:val="28"/>
        </w:rPr>
        <w:t>Транспортировка твердых коммунальных отходов осуществляется на планово-регулярной основе в сроки, предусмотренные санитарными правилами, по утвержденным графикам. Сбор твердых коммунальных отходов осуществляется в контейнеры, установленные в специально отведенных местах; вывоз – специализированным транспортом. В ТУ Одинцово частично осуществляется с</w:t>
      </w:r>
      <w:r>
        <w:rPr>
          <w:color w:val="000000"/>
          <w:spacing w:val="-1"/>
          <w:sz w:val="28"/>
          <w:szCs w:val="28"/>
        </w:rPr>
        <w:t xml:space="preserve">елективный сбор мусора до этапа транспортировки. </w:t>
      </w:r>
      <w:r>
        <w:rPr>
          <w:sz w:val="28"/>
          <w:szCs w:val="28"/>
        </w:rPr>
        <w:t xml:space="preserve">Токсичные бытовые отходы (батарейки, люминесцентные лампы и другие) отдельно не собираются и не обезвреживаются, а вывозятся на полигон или несанкционированно размещаются в окружающей среде. </w:t>
      </w:r>
    </w:p>
    <w:p>
      <w:pPr>
        <w:spacing w:line="360" w:lineRule="auto"/>
        <w:ind w:firstLine="567"/>
        <w:jc w:val="both"/>
        <w:rPr>
          <w:color w:val="000000"/>
          <w:spacing w:val="-1"/>
          <w:sz w:val="28"/>
          <w:szCs w:val="28"/>
        </w:rPr>
      </w:pPr>
      <w:r>
        <w:rPr>
          <w:color w:val="000000"/>
          <w:spacing w:val="-1"/>
          <w:sz w:val="28"/>
          <w:szCs w:val="28"/>
        </w:rPr>
        <w:t xml:space="preserve">Перемещение твердых коммунальных отходов осуществляется с помощью мусоровозов. Информация по парку специальной техники в распоряжение ООО «ЦТЭС» предоставлена не была, в результате чего нет понимания относительно количественного и качественного состава парка мусоровозов. </w:t>
      </w:r>
    </w:p>
    <w:p>
      <w:pPr>
        <w:spacing w:line="360" w:lineRule="auto"/>
        <w:ind w:firstLine="567"/>
        <w:jc w:val="both"/>
        <w:rPr>
          <w:color w:val="000000"/>
          <w:spacing w:val="-1"/>
          <w:sz w:val="28"/>
          <w:szCs w:val="28"/>
        </w:rPr>
      </w:pPr>
      <w:r>
        <w:rPr>
          <w:color w:val="000000"/>
          <w:spacing w:val="-1"/>
          <w:sz w:val="28"/>
          <w:szCs w:val="28"/>
        </w:rPr>
        <w:t>Охват населения услугой утилизации (захоронения) твердых бытовых отходов составил в 2016 г. 77% по данным статистической формы 22-ЖКХ (сводная). По факту мусор неохваченного населения складируется в близлежащие контейнеры или несанкционированно вывозится за пределы города. Норматив накопления твердых коммунальных отходов составляет 0,087 куб. м на кв. м жилой площади. По оценке ООО «ЦТЭС» выбросы парниковых газов оцениваются в объеме 40 тыс. тонн СО</w:t>
      </w:r>
      <w:r>
        <w:rPr>
          <w:color w:val="000000"/>
          <w:spacing w:val="-1"/>
          <w:sz w:val="28"/>
          <w:szCs w:val="28"/>
          <w:vertAlign w:val="subscript"/>
        </w:rPr>
        <w:t>2-экв.</w:t>
      </w:r>
      <w:r>
        <w:rPr>
          <w:color w:val="000000"/>
          <w:spacing w:val="-1"/>
          <w:sz w:val="28"/>
          <w:szCs w:val="28"/>
        </w:rPr>
        <w:t xml:space="preserve"> в год. </w:t>
      </w:r>
    </w:p>
    <w:p>
      <w:pPr>
        <w:spacing w:line="360" w:lineRule="auto"/>
        <w:ind w:firstLine="567"/>
        <w:jc w:val="both"/>
        <w:rPr>
          <w:color w:val="000000"/>
          <w:spacing w:val="-1"/>
          <w:sz w:val="28"/>
          <w:szCs w:val="28"/>
        </w:rPr>
      </w:pPr>
      <w:r>
        <w:rPr>
          <w:color w:val="000000"/>
          <w:sz w:val="28"/>
        </w:rPr>
        <w:t>Более подробных сведений по системе обращения ТКО в распоряжение ООО «ЦТЭС» предоставлено не было. Территориальная схема обращения с отходами, в т.ч. твердыми коммунальными отходами, на территории Московской области также не выделяет сведения по ТУ Одинцово</w:t>
      </w:r>
      <w:r>
        <w:rPr>
          <w:color w:val="000000"/>
          <w:spacing w:val="-1"/>
          <w:sz w:val="28"/>
          <w:szCs w:val="28"/>
        </w:rPr>
        <w:t>.</w:t>
      </w:r>
      <w:r>
        <w:rPr>
          <w:color w:val="000000"/>
          <w:sz w:val="28"/>
          <w:szCs w:val="28"/>
        </w:rPr>
        <w:t xml:space="preserve">  </w:t>
      </w:r>
    </w:p>
    <w:p>
      <w:pPr>
        <w:pStyle w:val="3"/>
        <w:numPr>
          <w:ilvl w:val="2"/>
          <w:numId w:val="30"/>
        </w:numPr>
        <w:pBdr>
          <w:bottom w:val="single" w:color="auto" w:sz="4" w:space="1"/>
        </w:pBdr>
        <w:tabs>
          <w:tab w:val="left" w:pos="1276"/>
        </w:tabs>
        <w:spacing w:before="0" w:after="200"/>
        <w:rPr>
          <w:rFonts w:ascii="Times New Roman" w:hAnsi="Times New Roman"/>
          <w:i w:val="0"/>
          <w:color w:val="000000"/>
          <w:sz w:val="30"/>
          <w:szCs w:val="30"/>
        </w:rPr>
      </w:pPr>
      <w:bookmarkStart w:id="30" w:name="_Toc21015048"/>
      <w:r>
        <w:rPr>
          <w:rFonts w:ascii="Times New Roman" w:hAnsi="Times New Roman"/>
          <w:i w:val="0"/>
          <w:color w:val="000000"/>
          <w:sz w:val="30"/>
          <w:szCs w:val="30"/>
        </w:rPr>
        <w:t>Анализ финасового состояния</w:t>
      </w:r>
      <w:bookmarkEnd w:id="30"/>
    </w:p>
    <w:p>
      <w:pPr>
        <w:spacing w:line="360" w:lineRule="auto"/>
        <w:ind w:firstLine="567"/>
        <w:jc w:val="both"/>
        <w:rPr>
          <w:color w:val="000000"/>
          <w:sz w:val="28"/>
          <w:szCs w:val="28"/>
        </w:rPr>
      </w:pPr>
      <w:r>
        <w:rPr>
          <w:color w:val="000000"/>
          <w:sz w:val="28"/>
          <w:szCs w:val="28"/>
        </w:rPr>
        <w:t xml:space="preserve">Проведение финансового анализа сектора обращения твердых коммунальных отходов невозможно по следующим причинам: 1) финансовые показатели не отображаются в форме 22-ЖКХ (сводная); 2) отсутствие какой-либо финансовой информации от компаний, вовлеченных в систему обращения твердых коммунальных отходов. </w:t>
      </w:r>
    </w:p>
    <w:p>
      <w:pPr>
        <w:shd w:val="clear" w:color="auto" w:fill="FFFFFF"/>
        <w:spacing w:line="360" w:lineRule="auto"/>
        <w:ind w:firstLine="567"/>
        <w:jc w:val="both"/>
        <w:rPr>
          <w:color w:val="000000"/>
          <w:spacing w:val="-1"/>
          <w:sz w:val="28"/>
          <w:szCs w:val="28"/>
        </w:rPr>
      </w:pPr>
      <w:r>
        <w:rPr>
          <w:color w:val="000000"/>
          <w:sz w:val="28"/>
          <w:szCs w:val="28"/>
        </w:rPr>
        <w:t>С 2019 для Рузского кластера, куда входит ТУ Одинцово, установлен тариф в размере 791,30 руб. за кв. м (без НДС).</w:t>
      </w:r>
    </w:p>
    <w:p>
      <w:pPr>
        <w:autoSpaceDE w:val="0"/>
        <w:autoSpaceDN w:val="0"/>
        <w:adjustRightInd w:val="0"/>
        <w:spacing w:line="360" w:lineRule="auto"/>
        <w:jc w:val="both"/>
        <w:rPr>
          <w:color w:val="000000"/>
          <w:sz w:val="28"/>
          <w:szCs w:val="28"/>
        </w:rPr>
      </w:pPr>
    </w:p>
    <w:p>
      <w:pPr>
        <w:pStyle w:val="3"/>
        <w:numPr>
          <w:ilvl w:val="1"/>
          <w:numId w:val="30"/>
        </w:numPr>
        <w:pBdr>
          <w:bottom w:val="single" w:color="auto" w:sz="4" w:space="1"/>
        </w:pBdr>
        <w:tabs>
          <w:tab w:val="left" w:pos="1276"/>
        </w:tabs>
        <w:spacing w:before="0" w:after="200"/>
        <w:ind w:hanging="721"/>
        <w:rPr>
          <w:rFonts w:ascii="Times New Roman" w:hAnsi="Times New Roman"/>
          <w:i w:val="0"/>
          <w:color w:val="000000"/>
          <w:sz w:val="30"/>
          <w:szCs w:val="30"/>
        </w:rPr>
      </w:pPr>
      <w:bookmarkStart w:id="31" w:name="_Toc21015049"/>
      <w:r>
        <w:rPr>
          <w:rFonts w:ascii="Times New Roman" w:hAnsi="Times New Roman"/>
          <w:i w:val="0"/>
          <w:color w:val="000000"/>
          <w:sz w:val="30"/>
          <w:szCs w:val="30"/>
        </w:rPr>
        <w:t>Краткий анализ обеспеченности приборами учета потребителей</w:t>
      </w:r>
      <w:bookmarkEnd w:id="31"/>
    </w:p>
    <w:p>
      <w:pPr>
        <w:spacing w:line="360" w:lineRule="auto"/>
        <w:ind w:firstLine="567"/>
        <w:jc w:val="both"/>
        <w:rPr>
          <w:color w:val="000000"/>
          <w:sz w:val="28"/>
          <w:szCs w:val="28"/>
        </w:rPr>
      </w:pPr>
      <w:r>
        <w:rPr>
          <w:color w:val="000000"/>
          <w:sz w:val="28"/>
          <w:szCs w:val="28"/>
        </w:rPr>
        <w:t xml:space="preserve">Учет коммунальных ресурсов осуществляется с помощью специальных приборов, сведения о которых могут быть почерпнуты из следующих источников: </w:t>
      </w:r>
    </w:p>
    <w:p>
      <w:pPr>
        <w:numPr>
          <w:ilvl w:val="0"/>
          <w:numId w:val="51"/>
        </w:numPr>
        <w:spacing w:line="360" w:lineRule="auto"/>
        <w:ind w:left="1134" w:hanging="567"/>
        <w:jc w:val="both"/>
        <w:rPr>
          <w:color w:val="000000"/>
          <w:sz w:val="28"/>
          <w:szCs w:val="28"/>
        </w:rPr>
      </w:pPr>
      <w:r>
        <w:rPr>
          <w:color w:val="000000"/>
          <w:sz w:val="28"/>
          <w:szCs w:val="28"/>
        </w:rPr>
        <w:t xml:space="preserve">Статистическая форма 1-ПУ (ЖКХ). </w:t>
      </w:r>
    </w:p>
    <w:p>
      <w:pPr>
        <w:spacing w:line="360" w:lineRule="auto"/>
        <w:ind w:left="1134"/>
        <w:jc w:val="both"/>
        <w:rPr>
          <w:color w:val="000000"/>
          <w:sz w:val="28"/>
          <w:szCs w:val="28"/>
        </w:rPr>
      </w:pPr>
      <w:r>
        <w:rPr>
          <w:color w:val="000000"/>
          <w:sz w:val="28"/>
          <w:szCs w:val="28"/>
        </w:rPr>
        <w:t xml:space="preserve">Данная статистическая форма содержит сведения по оснащенности жилых зданий коллективными и индивидуальными приборами учета коммунальных ресурсов в муниципальном образовании. В распоряжение ООО «ЦТЭС» по запросу статистическая форма 1-ПУ (ЖКХ) предоставлена не была. </w:t>
      </w:r>
    </w:p>
    <w:p>
      <w:pPr>
        <w:numPr>
          <w:ilvl w:val="0"/>
          <w:numId w:val="51"/>
        </w:numPr>
        <w:spacing w:line="360" w:lineRule="auto"/>
        <w:ind w:left="1134" w:hanging="567"/>
        <w:jc w:val="both"/>
        <w:rPr>
          <w:color w:val="000000"/>
          <w:sz w:val="28"/>
          <w:szCs w:val="28"/>
        </w:rPr>
      </w:pPr>
      <w:r>
        <w:rPr>
          <w:color w:val="000000"/>
          <w:sz w:val="28"/>
          <w:szCs w:val="28"/>
        </w:rPr>
        <w:t>Статистическая форма 22-ЖКХ (реформа).</w:t>
      </w:r>
    </w:p>
    <w:p>
      <w:pPr>
        <w:spacing w:line="360" w:lineRule="auto"/>
        <w:ind w:left="1134"/>
        <w:jc w:val="both"/>
        <w:rPr>
          <w:color w:val="000000"/>
          <w:sz w:val="28"/>
          <w:szCs w:val="28"/>
        </w:rPr>
      </w:pPr>
      <w:r>
        <w:rPr>
          <w:color w:val="000000"/>
          <w:sz w:val="28"/>
          <w:szCs w:val="28"/>
        </w:rPr>
        <w:t xml:space="preserve">Данная статистическая форма предоставляет возможность косвенно оценить оснащенность приборами учета посредством сопоставления значения совокупного отпуска коммунальной услуги, и значения отпуска по приборам учета. В предоставленной статистической форме 22-ЖКХ (реформа) в соответствующих графах стоят пропуски, поэтому осуществить такой расчет не представляется возможным. </w:t>
      </w:r>
    </w:p>
    <w:p>
      <w:pPr>
        <w:numPr>
          <w:ilvl w:val="0"/>
          <w:numId w:val="51"/>
        </w:numPr>
        <w:spacing w:line="360" w:lineRule="auto"/>
        <w:ind w:left="1134" w:hanging="567"/>
        <w:jc w:val="both"/>
        <w:rPr>
          <w:color w:val="000000"/>
          <w:sz w:val="28"/>
          <w:szCs w:val="28"/>
        </w:rPr>
      </w:pPr>
      <w:r>
        <w:rPr>
          <w:color w:val="000000"/>
          <w:sz w:val="28"/>
          <w:szCs w:val="28"/>
        </w:rPr>
        <w:t xml:space="preserve">Статистическая форма 4-ТЭР содержит сведения об общем количестве точек учета коммунальных ресурсов, включая оснащенные приборами учета. Сведения по этой статистической форме представлены в таблице 2.7-1. </w:t>
      </w:r>
    </w:p>
    <w:p>
      <w:pPr>
        <w:spacing w:line="360" w:lineRule="auto"/>
        <w:jc w:val="both"/>
        <w:rPr>
          <w:b/>
          <w:color w:val="000000"/>
          <w:sz w:val="28"/>
          <w:szCs w:val="28"/>
        </w:rPr>
      </w:pPr>
      <w:r>
        <w:rPr>
          <w:b/>
          <w:color w:val="000000"/>
          <w:sz w:val="28"/>
          <w:szCs w:val="28"/>
        </w:rPr>
        <w:t>Таблица 2.7-1. Обеспеченность приборами учета</w:t>
      </w:r>
    </w:p>
    <w:tbl>
      <w:tblPr>
        <w:tblStyle w:val="10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b/>
                <w:color w:val="000000"/>
                <w:sz w:val="20"/>
                <w:szCs w:val="20"/>
              </w:rPr>
            </w:pPr>
            <w:r>
              <w:rPr>
                <w:b/>
                <w:color w:val="000000"/>
                <w:sz w:val="20"/>
                <w:szCs w:val="20"/>
              </w:rPr>
              <w:t>Коммунальные ресурсы</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b/>
                <w:color w:val="000000"/>
                <w:sz w:val="20"/>
                <w:szCs w:val="20"/>
              </w:rPr>
            </w:pPr>
            <w:r>
              <w:rPr>
                <w:b/>
                <w:color w:val="000000"/>
                <w:sz w:val="20"/>
                <w:szCs w:val="20"/>
              </w:rPr>
              <w:t xml:space="preserve">Доля точек с </w:t>
            </w:r>
          </w:p>
          <w:p>
            <w:pPr>
              <w:spacing w:before="20" w:after="20"/>
              <w:jc w:val="center"/>
              <w:rPr>
                <w:b/>
                <w:color w:val="000000"/>
                <w:sz w:val="20"/>
                <w:szCs w:val="20"/>
              </w:rPr>
            </w:pPr>
            <w:r>
              <w:rPr>
                <w:b/>
                <w:color w:val="000000"/>
                <w:sz w:val="20"/>
                <w:szCs w:val="20"/>
              </w:rPr>
              <w:t>приборами учета,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both"/>
              <w:rPr>
                <w:color w:val="000000"/>
                <w:sz w:val="20"/>
                <w:szCs w:val="20"/>
              </w:rPr>
            </w:pPr>
            <w:r>
              <w:rPr>
                <w:color w:val="000000"/>
                <w:sz w:val="20"/>
                <w:szCs w:val="20"/>
              </w:rPr>
              <w:t>Электрическая энергия</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color w:val="000000"/>
                <w:sz w:val="20"/>
                <w:szCs w:val="20"/>
              </w:rPr>
            </w:pPr>
            <w:r>
              <w:rPr>
                <w:color w:val="000000"/>
                <w:sz w:val="20"/>
                <w:szCs w:val="20"/>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both"/>
              <w:rPr>
                <w:color w:val="000000"/>
                <w:sz w:val="20"/>
                <w:szCs w:val="20"/>
              </w:rPr>
            </w:pPr>
            <w:r>
              <w:rPr>
                <w:color w:val="000000"/>
                <w:sz w:val="20"/>
                <w:szCs w:val="20"/>
              </w:rPr>
              <w:t>Тепловая энергия</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color w:val="000000"/>
                <w:sz w:val="20"/>
                <w:szCs w:val="20"/>
              </w:rPr>
            </w:pPr>
            <w:r>
              <w:rPr>
                <w:color w:val="000000"/>
                <w:sz w:val="20"/>
                <w:szCs w:val="20"/>
              </w:rPr>
              <w:t>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both"/>
              <w:rPr>
                <w:color w:val="000000"/>
                <w:sz w:val="20"/>
                <w:szCs w:val="20"/>
              </w:rPr>
            </w:pPr>
            <w:r>
              <w:rPr>
                <w:color w:val="000000"/>
                <w:sz w:val="20"/>
                <w:szCs w:val="20"/>
              </w:rPr>
              <w:t>Горячая вода</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color w:val="000000"/>
                <w:sz w:val="20"/>
                <w:szCs w:val="20"/>
              </w:rPr>
            </w:pPr>
            <w:r>
              <w:rPr>
                <w:color w:val="00000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both"/>
              <w:rPr>
                <w:color w:val="000000"/>
                <w:sz w:val="20"/>
                <w:szCs w:val="20"/>
              </w:rPr>
            </w:pPr>
            <w:r>
              <w:rPr>
                <w:color w:val="000000"/>
                <w:sz w:val="20"/>
                <w:szCs w:val="20"/>
              </w:rPr>
              <w:t>Холодная вода</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color w:val="000000"/>
                <w:sz w:val="20"/>
                <w:szCs w:val="20"/>
              </w:rPr>
            </w:pPr>
            <w:r>
              <w:rPr>
                <w:color w:val="000000"/>
                <w:sz w:val="20"/>
                <w:szCs w:val="20"/>
              </w:rP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98" w:type="dxa"/>
            <w:tcBorders>
              <w:top w:val="single" w:color="auto" w:sz="4" w:space="0"/>
              <w:left w:val="single" w:color="auto" w:sz="4" w:space="0"/>
              <w:bottom w:val="single" w:color="auto" w:sz="4" w:space="0"/>
              <w:right w:val="single" w:color="auto" w:sz="4" w:space="0"/>
            </w:tcBorders>
            <w:vAlign w:val="center"/>
          </w:tcPr>
          <w:p>
            <w:pPr>
              <w:spacing w:before="20" w:after="20"/>
              <w:jc w:val="both"/>
              <w:rPr>
                <w:color w:val="000000"/>
                <w:sz w:val="20"/>
                <w:szCs w:val="20"/>
              </w:rPr>
            </w:pPr>
            <w:r>
              <w:rPr>
                <w:color w:val="000000"/>
                <w:sz w:val="20"/>
                <w:szCs w:val="20"/>
              </w:rPr>
              <w:t>Природный газ</w:t>
            </w:r>
          </w:p>
        </w:tc>
        <w:tc>
          <w:tcPr>
            <w:tcW w:w="3963" w:type="dxa"/>
            <w:tcBorders>
              <w:top w:val="single" w:color="auto" w:sz="4" w:space="0"/>
              <w:left w:val="single" w:color="auto" w:sz="4" w:space="0"/>
              <w:bottom w:val="single" w:color="auto" w:sz="4" w:space="0"/>
              <w:right w:val="single" w:color="auto" w:sz="4" w:space="0"/>
            </w:tcBorders>
            <w:vAlign w:val="center"/>
          </w:tcPr>
          <w:p>
            <w:pPr>
              <w:spacing w:before="20" w:after="20"/>
              <w:jc w:val="center"/>
              <w:rPr>
                <w:color w:val="000000"/>
                <w:sz w:val="20"/>
                <w:szCs w:val="20"/>
              </w:rPr>
            </w:pPr>
            <w:r>
              <w:rPr>
                <w:color w:val="000000"/>
                <w:sz w:val="20"/>
                <w:szCs w:val="20"/>
              </w:rPr>
              <w:t>100,0</w:t>
            </w:r>
          </w:p>
        </w:tc>
      </w:tr>
    </w:tbl>
    <w:p>
      <w:pPr>
        <w:spacing w:before="120" w:line="360" w:lineRule="auto"/>
        <w:jc w:val="both"/>
        <w:rPr>
          <w:color w:val="000000"/>
          <w:sz w:val="20"/>
          <w:szCs w:val="20"/>
        </w:rPr>
      </w:pPr>
      <w:r>
        <w:rPr>
          <w:color w:val="000000"/>
          <w:sz w:val="20"/>
          <w:szCs w:val="20"/>
        </w:rPr>
        <w:t xml:space="preserve">Источник: статистическая форма 4-ТЭР. </w:t>
      </w:r>
    </w:p>
    <w:p>
      <w:pPr>
        <w:spacing w:line="360" w:lineRule="auto"/>
        <w:ind w:firstLine="567"/>
        <w:jc w:val="both"/>
        <w:rPr>
          <w:color w:val="000000"/>
          <w:sz w:val="28"/>
          <w:szCs w:val="28"/>
        </w:rPr>
      </w:pPr>
      <w:r>
        <w:rPr>
          <w:color w:val="000000"/>
          <w:sz w:val="28"/>
          <w:szCs w:val="28"/>
        </w:rPr>
        <w:t xml:space="preserve">Как видно из таблицы, обеспеченность приборами учета в муниципальном образовании высокая, а по горячей воде и природному газу составляет 100%.   </w:t>
      </w:r>
    </w:p>
    <w:p>
      <w:pPr>
        <w:spacing w:line="360" w:lineRule="auto"/>
        <w:ind w:firstLine="567"/>
        <w:jc w:val="both"/>
        <w:rPr>
          <w:color w:val="000000"/>
          <w:sz w:val="28"/>
          <w:szCs w:val="28"/>
        </w:rPr>
      </w:pPr>
      <w:r>
        <w:rPr>
          <w:color w:val="000000"/>
          <w:sz w:val="28"/>
          <w:szCs w:val="28"/>
        </w:rPr>
        <w:t xml:space="preserve">Эти оценки подтверждаются сведениями, представленными отдельными организациями, согласно которым многоквартирные дома, находящиеся в их управлении, почти полностью оснащены приборами учета коммунальных ресурсов.  </w:t>
      </w:r>
    </w:p>
    <w:p>
      <w:pPr>
        <w:tabs>
          <w:tab w:val="left" w:pos="0"/>
        </w:tabs>
        <w:spacing w:line="360" w:lineRule="auto"/>
        <w:ind w:firstLine="567"/>
        <w:jc w:val="both"/>
        <w:rPr>
          <w:sz w:val="28"/>
          <w:szCs w:val="28"/>
        </w:rPr>
      </w:pPr>
      <w:r>
        <w:rPr>
          <w:sz w:val="28"/>
          <w:szCs w:val="28"/>
        </w:rPr>
        <w:t xml:space="preserve">Федеральный закон № 261 от 23 ноября 2009 г. «Об энергосбережении и повышении энергетической эффективности, а также о внесении изменений в отдельные законодательные акты Российской Федерации» предполагал 100%-ное оснащение общедомовыми приборами учета всех коммунальных ресурсов к настоящему времени, за исключением многоквартирных домов с электрической нагрузкой менее 15 кВт*ч, признанных аварийными, а также стоящих в планах на снос и капитальный ремонт. Также федеральным законом регламентировалось 100%-оснащение квартир приборами учета природного газа, электрической энергии, холодной и горячей воды. </w:t>
      </w:r>
    </w:p>
    <w:p>
      <w:pPr>
        <w:tabs>
          <w:tab w:val="left" w:pos="0"/>
        </w:tabs>
        <w:spacing w:line="360" w:lineRule="auto"/>
        <w:ind w:firstLine="567"/>
        <w:contextualSpacing/>
        <w:jc w:val="both"/>
        <w:rPr>
          <w:sz w:val="28"/>
          <w:szCs w:val="28"/>
        </w:rPr>
      </w:pPr>
      <w:r>
        <w:rPr>
          <w:sz w:val="28"/>
          <w:szCs w:val="28"/>
        </w:rPr>
        <w:t>Следует сказать, что разработчики федерального закона закладывали изначально очень высокие и почти неисполнимые требования по оснащенности приборами учета ввиду наличия ограничивающих факторов: время, оппортунистическое поведение потребителей, предельно допустимые уровни повышения тарифов и ряд других. Тем не менее, федеральный закон наряду с другими факторами оказал положительное влияние на ситуацию в Территориальном управлении Одинцово в части повышения обеспеченности приборами учета коммунальных ресурсов.</w:t>
      </w:r>
      <w:r>
        <w:rPr>
          <w:color w:val="000000"/>
          <w:sz w:val="28"/>
          <w:szCs w:val="28"/>
        </w:rPr>
        <w:t xml:space="preserve"> </w:t>
      </w:r>
      <w:r>
        <w:rPr>
          <w:sz w:val="28"/>
          <w:szCs w:val="28"/>
        </w:rPr>
        <w:t xml:space="preserve"> </w:t>
      </w:r>
      <w:r>
        <w:rPr>
          <w:color w:val="000000"/>
          <w:sz w:val="28"/>
          <w:szCs w:val="28"/>
        </w:rPr>
        <w:t xml:space="preserve"> </w:t>
      </w:r>
      <w:r>
        <w:rPr>
          <w:sz w:val="28"/>
          <w:szCs w:val="28"/>
        </w:rPr>
        <w:t xml:space="preserve"> </w:t>
      </w:r>
    </w:p>
    <w:p>
      <w:pPr>
        <w:tabs>
          <w:tab w:val="left" w:pos="0"/>
        </w:tabs>
        <w:spacing w:line="360" w:lineRule="auto"/>
        <w:ind w:firstLine="567"/>
        <w:contextualSpacing/>
        <w:jc w:val="both"/>
        <w:rPr>
          <w:sz w:val="28"/>
          <w:szCs w:val="28"/>
        </w:rPr>
      </w:pPr>
      <w:r>
        <w:rPr>
          <w:sz w:val="28"/>
          <w:szCs w:val="28"/>
        </w:rPr>
        <w:t xml:space="preserve">Таким образом, на основании вышеизложенного можно заключить, что </w:t>
      </w:r>
      <w:r>
        <w:rPr>
          <w:b/>
          <w:sz w:val="28"/>
          <w:szCs w:val="28"/>
        </w:rPr>
        <w:t>основная проблема</w:t>
      </w:r>
      <w:r>
        <w:rPr>
          <w:sz w:val="28"/>
          <w:szCs w:val="28"/>
        </w:rPr>
        <w:t xml:space="preserve"> - низкая обеспеченность приборами учета коммунальных ресурсов в муниципальном образовании, и требуется существенное улучшение ситуации. В качестве одного из возможных </w:t>
      </w:r>
      <w:r>
        <w:rPr>
          <w:b/>
          <w:sz w:val="28"/>
          <w:szCs w:val="28"/>
        </w:rPr>
        <w:t>путей решений</w:t>
      </w:r>
      <w:r>
        <w:rPr>
          <w:sz w:val="28"/>
          <w:szCs w:val="28"/>
        </w:rPr>
        <w:t xml:space="preserve"> – включение в расходы управляющих компаний затрат на монтаж общедомовых приборов учета коммунальных ресурсов. </w:t>
      </w:r>
    </w:p>
    <w:p>
      <w:pPr>
        <w:pStyle w:val="2"/>
        <w:numPr>
          <w:ilvl w:val="0"/>
          <w:numId w:val="30"/>
        </w:numPr>
        <w:ind w:left="448" w:hanging="448"/>
        <w:rPr>
          <w:rFonts w:ascii="Times New Roman" w:hAnsi="Times New Roman"/>
          <w:caps/>
          <w:sz w:val="30"/>
          <w:szCs w:val="30"/>
        </w:rPr>
      </w:pPr>
      <w:bookmarkStart w:id="32" w:name="_Toc21015050"/>
      <w:r>
        <w:rPr>
          <w:rFonts w:ascii="Times New Roman" w:hAnsi="Times New Roman"/>
          <w:sz w:val="30"/>
          <w:szCs w:val="30"/>
        </w:rPr>
        <w:t>ПЕРСПЕКТИВЫ РАЗВИТИЯ ТЕРРИТОРИАЛЬНОГО УПРАВЛЕНИЯ ОДИНЦОВО И ПРОГНОЗ СПРОСА НА КОММУНАЛЬНЫЕ РЕСУРСЫ</w:t>
      </w:r>
      <w:bookmarkEnd w:id="32"/>
    </w:p>
    <w:p>
      <w:pPr>
        <w:pStyle w:val="3"/>
        <w:numPr>
          <w:ilvl w:val="1"/>
          <w:numId w:val="30"/>
        </w:numPr>
        <w:pBdr>
          <w:bottom w:val="single" w:color="auto" w:sz="12" w:space="0"/>
        </w:pBdr>
        <w:tabs>
          <w:tab w:val="left" w:pos="1276"/>
        </w:tabs>
        <w:spacing w:before="0" w:after="200"/>
        <w:ind w:left="1276" w:hanging="850"/>
        <w:rPr>
          <w:rFonts w:ascii="Times New Roman" w:hAnsi="Times New Roman"/>
          <w:i w:val="0"/>
          <w:color w:val="000000"/>
          <w:sz w:val="30"/>
          <w:szCs w:val="30"/>
        </w:rPr>
      </w:pPr>
      <w:bookmarkStart w:id="33" w:name="_Toc21015051"/>
      <w:r>
        <w:rPr>
          <w:rFonts w:ascii="Times New Roman" w:hAnsi="Times New Roman"/>
          <w:i w:val="0"/>
          <w:color w:val="000000"/>
          <w:sz w:val="30"/>
          <w:szCs w:val="30"/>
        </w:rPr>
        <w:t>Количественное определение перспективных показателей развития муниципального образования</w:t>
      </w:r>
      <w:bookmarkEnd w:id="33"/>
      <w:r>
        <w:rPr>
          <w:rFonts w:ascii="Times New Roman" w:hAnsi="Times New Roman"/>
          <w:i w:val="0"/>
          <w:color w:val="000000"/>
          <w:sz w:val="30"/>
          <w:szCs w:val="30"/>
        </w:rPr>
        <w:t xml:space="preserve"> </w:t>
      </w:r>
    </w:p>
    <w:p>
      <w:pPr>
        <w:pStyle w:val="154"/>
        <w:numPr>
          <w:ilvl w:val="2"/>
          <w:numId w:val="30"/>
        </w:numPr>
        <w:spacing w:after="120" w:line="235" w:lineRule="auto"/>
        <w:ind w:hanging="863"/>
        <w:jc w:val="both"/>
        <w:rPr>
          <w:sz w:val="28"/>
          <w:szCs w:val="28"/>
          <w:u w:val="single"/>
        </w:rPr>
      </w:pPr>
      <w:r>
        <w:rPr>
          <w:sz w:val="28"/>
          <w:szCs w:val="28"/>
          <w:u w:val="single"/>
        </w:rPr>
        <w:t xml:space="preserve">Прогноз численности и структуры населения </w:t>
      </w:r>
    </w:p>
    <w:p>
      <w:pPr>
        <w:spacing w:line="360" w:lineRule="auto"/>
        <w:ind w:firstLine="567"/>
        <w:jc w:val="both"/>
        <w:rPr>
          <w:sz w:val="28"/>
          <w:szCs w:val="28"/>
        </w:rPr>
      </w:pPr>
      <w:r>
        <w:rPr>
          <w:sz w:val="28"/>
          <w:szCs w:val="28"/>
        </w:rPr>
        <w:t xml:space="preserve">Численность постоянного населения </w:t>
      </w:r>
      <w:r>
        <w:rPr>
          <w:color w:val="000000"/>
          <w:sz w:val="28"/>
          <w:szCs w:val="28"/>
        </w:rPr>
        <w:t>ТУ Одинцово</w:t>
      </w:r>
      <w:r>
        <w:rPr>
          <w:sz w:val="28"/>
          <w:szCs w:val="28"/>
        </w:rPr>
        <w:t xml:space="preserve"> на 01.01.2018 года составляла</w:t>
      </w:r>
      <w:r>
        <w:rPr>
          <w:b/>
          <w:sz w:val="28"/>
          <w:szCs w:val="28"/>
        </w:rPr>
        <w:t xml:space="preserve"> </w:t>
      </w:r>
      <w:r>
        <w:rPr>
          <w:sz w:val="28"/>
          <w:szCs w:val="28"/>
        </w:rPr>
        <w:t xml:space="preserve">147 тыс. человек (см. таблицу 3-1). Доля нетрудоспособного населения выросла с 30,6% в 2013 г. до 33,9% в 2017 г., а это означает, что стабилизация численности населения происходило на фоне его старения.  </w:t>
      </w:r>
    </w:p>
    <w:p>
      <w:pPr>
        <w:spacing w:line="360" w:lineRule="auto"/>
        <w:ind w:firstLine="567"/>
        <w:jc w:val="both"/>
        <w:rPr>
          <w:sz w:val="28"/>
          <w:szCs w:val="28"/>
        </w:rPr>
      </w:pPr>
      <w:r>
        <w:rPr>
          <w:sz w:val="28"/>
          <w:szCs w:val="28"/>
        </w:rPr>
        <w:t xml:space="preserve">В 2014-2015 гг. численность населения сокращалась за счет отрицательных естественного и миграционного прироста. В остальные годы миграционный прирост оказывал положительное влияние в то время как естественный сохранял отрицательные значения (убыль населения). </w:t>
      </w:r>
    </w:p>
    <w:p>
      <w:pPr>
        <w:spacing w:line="360" w:lineRule="auto"/>
        <w:jc w:val="both"/>
        <w:rPr>
          <w:b/>
          <w:sz w:val="28"/>
          <w:szCs w:val="28"/>
        </w:rPr>
      </w:pPr>
      <w:r>
        <w:rPr>
          <w:b/>
          <w:sz w:val="28"/>
          <w:szCs w:val="28"/>
        </w:rPr>
        <w:t>Таблица 3-1. Демографические характеристики</w:t>
      </w:r>
    </w:p>
    <w:tbl>
      <w:tblPr>
        <w:tblStyle w:val="100"/>
        <w:tblW w:w="9067" w:type="dxa"/>
        <w:tblInd w:w="-5" w:type="dxa"/>
        <w:tblLayout w:type="fixed"/>
        <w:tblCellMar>
          <w:top w:w="0" w:type="dxa"/>
          <w:left w:w="108" w:type="dxa"/>
          <w:bottom w:w="0" w:type="dxa"/>
          <w:right w:w="108" w:type="dxa"/>
        </w:tblCellMar>
      </w:tblPr>
      <w:tblGrid>
        <w:gridCol w:w="3681"/>
        <w:gridCol w:w="1099"/>
        <w:gridCol w:w="857"/>
        <w:gridCol w:w="857"/>
        <w:gridCol w:w="858"/>
        <w:gridCol w:w="857"/>
        <w:gridCol w:w="858"/>
      </w:tblGrid>
      <w:tr>
        <w:tblPrEx>
          <w:tblLayout w:type="fixed"/>
          <w:tblCellMar>
            <w:top w:w="0" w:type="dxa"/>
            <w:left w:w="108" w:type="dxa"/>
            <w:bottom w:w="0" w:type="dxa"/>
            <w:right w:w="108" w:type="dxa"/>
          </w:tblCellMar>
        </w:tblPrEx>
        <w:trPr>
          <w:trHeight w:val="255" w:hRule="atLeast"/>
          <w:tblHeader/>
        </w:trPr>
        <w:tc>
          <w:tcPr>
            <w:tcW w:w="368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Показатели</w:t>
            </w:r>
          </w:p>
        </w:tc>
        <w:tc>
          <w:tcPr>
            <w:tcW w:w="1099"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Ед. изм.</w:t>
            </w:r>
          </w:p>
        </w:tc>
        <w:tc>
          <w:tcPr>
            <w:tcW w:w="857"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2013</w:t>
            </w:r>
          </w:p>
        </w:tc>
        <w:tc>
          <w:tcPr>
            <w:tcW w:w="857"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2014</w:t>
            </w:r>
          </w:p>
        </w:tc>
        <w:tc>
          <w:tcPr>
            <w:tcW w:w="858"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2015</w:t>
            </w:r>
          </w:p>
        </w:tc>
        <w:tc>
          <w:tcPr>
            <w:tcW w:w="857"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2016</w:t>
            </w:r>
          </w:p>
        </w:tc>
        <w:tc>
          <w:tcPr>
            <w:tcW w:w="858" w:type="dxa"/>
            <w:tcBorders>
              <w:top w:val="single" w:color="auto" w:sz="4" w:space="0"/>
              <w:left w:val="nil"/>
              <w:bottom w:val="single" w:color="auto" w:sz="4" w:space="0"/>
              <w:right w:val="single" w:color="auto" w:sz="4" w:space="0"/>
            </w:tcBorders>
            <w:vAlign w:val="center"/>
          </w:tcPr>
          <w:p>
            <w:pPr>
              <w:spacing w:before="20" w:after="20"/>
              <w:jc w:val="center"/>
              <w:rPr>
                <w:b/>
                <w:bCs/>
                <w:sz w:val="20"/>
                <w:szCs w:val="20"/>
              </w:rPr>
            </w:pPr>
            <w:r>
              <w:rPr>
                <w:b/>
                <w:bCs/>
                <w:sz w:val="20"/>
                <w:szCs w:val="20"/>
              </w:rPr>
              <w:t>2017</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jc w:val="both"/>
              <w:rPr>
                <w:sz w:val="20"/>
                <w:szCs w:val="20"/>
              </w:rPr>
            </w:pPr>
            <w:r>
              <w:rPr>
                <w:sz w:val="20"/>
                <w:szCs w:val="20"/>
              </w:rPr>
              <w:t>Численность населения на конец года</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тыс. чел.</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147,0</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146,6</w:t>
            </w:r>
          </w:p>
        </w:tc>
        <w:tc>
          <w:tcPr>
            <w:tcW w:w="85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146,1</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146,5</w:t>
            </w:r>
          </w:p>
        </w:tc>
        <w:tc>
          <w:tcPr>
            <w:tcW w:w="858"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146,6</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jc w:val="both"/>
              <w:rPr>
                <w:sz w:val="20"/>
                <w:szCs w:val="20"/>
              </w:rPr>
            </w:pPr>
            <w:r>
              <w:rPr>
                <w:sz w:val="20"/>
                <w:szCs w:val="20"/>
              </w:rPr>
              <w:t xml:space="preserve">Численность населения среднегодовая </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тыс. чел.</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 </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146,8</w:t>
            </w:r>
          </w:p>
        </w:tc>
        <w:tc>
          <w:tcPr>
            <w:tcW w:w="85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146,3</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146,3</w:t>
            </w:r>
          </w:p>
        </w:tc>
        <w:tc>
          <w:tcPr>
            <w:tcW w:w="858"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146,6</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jc w:val="both"/>
              <w:rPr>
                <w:sz w:val="20"/>
                <w:szCs w:val="20"/>
              </w:rPr>
            </w:pPr>
            <w:r>
              <w:rPr>
                <w:sz w:val="20"/>
                <w:szCs w:val="20"/>
              </w:rPr>
              <w:t xml:space="preserve">Рождаемость </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чел.</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1615</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1651</w:t>
            </w:r>
          </w:p>
        </w:tc>
        <w:tc>
          <w:tcPr>
            <w:tcW w:w="85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1786</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1787</w:t>
            </w:r>
          </w:p>
        </w:tc>
        <w:tc>
          <w:tcPr>
            <w:tcW w:w="858"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1617</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jc w:val="both"/>
              <w:rPr>
                <w:i/>
                <w:iCs/>
                <w:sz w:val="20"/>
                <w:szCs w:val="20"/>
              </w:rPr>
            </w:pPr>
            <w:r>
              <w:rPr>
                <w:i/>
                <w:iCs/>
                <w:sz w:val="20"/>
                <w:szCs w:val="20"/>
              </w:rPr>
              <w:t>ОКР</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i/>
                <w:sz w:val="20"/>
                <w:szCs w:val="20"/>
              </w:rPr>
            </w:pPr>
            <w:r>
              <w:rPr>
                <w:i/>
                <w:sz w:val="20"/>
                <w:szCs w:val="20"/>
              </w:rPr>
              <w:t>промилле</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11</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11,3</w:t>
            </w:r>
          </w:p>
        </w:tc>
        <w:tc>
          <w:tcPr>
            <w:tcW w:w="858"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12,2</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12,2</w:t>
            </w:r>
          </w:p>
        </w:tc>
        <w:tc>
          <w:tcPr>
            <w:tcW w:w="858" w:type="dxa"/>
            <w:tcBorders>
              <w:top w:val="nil"/>
              <w:left w:val="nil"/>
              <w:bottom w:val="single" w:color="auto" w:sz="4" w:space="0"/>
              <w:right w:val="single" w:color="auto" w:sz="4" w:space="0"/>
            </w:tcBorders>
            <w:vAlign w:val="center"/>
          </w:tcPr>
          <w:p>
            <w:pPr>
              <w:jc w:val="center"/>
              <w:rPr>
                <w:i/>
                <w:iCs/>
                <w:color w:val="000000"/>
                <w:sz w:val="20"/>
                <w:szCs w:val="20"/>
              </w:rPr>
            </w:pPr>
            <w:r>
              <w:rPr>
                <w:i/>
                <w:iCs/>
                <w:color w:val="000000"/>
                <w:sz w:val="20"/>
                <w:szCs w:val="20"/>
              </w:rPr>
              <w:t>11</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jc w:val="both"/>
              <w:rPr>
                <w:sz w:val="20"/>
                <w:szCs w:val="20"/>
              </w:rPr>
            </w:pPr>
            <w:r>
              <w:rPr>
                <w:sz w:val="20"/>
                <w:szCs w:val="20"/>
              </w:rPr>
              <w:t xml:space="preserve">Смертность </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чел.</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1925</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1999</w:t>
            </w:r>
          </w:p>
        </w:tc>
        <w:tc>
          <w:tcPr>
            <w:tcW w:w="85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1996</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1973</w:t>
            </w:r>
          </w:p>
        </w:tc>
        <w:tc>
          <w:tcPr>
            <w:tcW w:w="858"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1937</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jc w:val="both"/>
              <w:rPr>
                <w:i/>
                <w:iCs/>
                <w:sz w:val="20"/>
                <w:szCs w:val="20"/>
              </w:rPr>
            </w:pPr>
            <w:r>
              <w:rPr>
                <w:i/>
                <w:iCs/>
                <w:sz w:val="20"/>
                <w:szCs w:val="20"/>
              </w:rPr>
              <w:t>ОКС</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i/>
                <w:sz w:val="20"/>
                <w:szCs w:val="20"/>
              </w:rPr>
            </w:pPr>
            <w:r>
              <w:rPr>
                <w:i/>
                <w:sz w:val="20"/>
                <w:szCs w:val="20"/>
              </w:rPr>
              <w:t>промилле</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13,1</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13,6</w:t>
            </w:r>
          </w:p>
        </w:tc>
        <w:tc>
          <w:tcPr>
            <w:tcW w:w="858"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13,7</w:t>
            </w:r>
          </w:p>
        </w:tc>
        <w:tc>
          <w:tcPr>
            <w:tcW w:w="857" w:type="dxa"/>
            <w:tcBorders>
              <w:top w:val="nil"/>
              <w:left w:val="nil"/>
              <w:bottom w:val="single" w:color="auto" w:sz="4" w:space="0"/>
              <w:right w:val="single" w:color="auto" w:sz="4" w:space="0"/>
            </w:tcBorders>
            <w:shd w:val="clear" w:color="auto" w:fill="auto"/>
            <w:vAlign w:val="center"/>
          </w:tcPr>
          <w:p>
            <w:pPr>
              <w:jc w:val="center"/>
              <w:rPr>
                <w:i/>
                <w:iCs/>
                <w:color w:val="000000"/>
                <w:sz w:val="20"/>
                <w:szCs w:val="20"/>
              </w:rPr>
            </w:pPr>
            <w:r>
              <w:rPr>
                <w:i/>
                <w:iCs/>
                <w:color w:val="000000"/>
                <w:sz w:val="20"/>
                <w:szCs w:val="20"/>
              </w:rPr>
              <w:t>13,5</w:t>
            </w:r>
          </w:p>
        </w:tc>
        <w:tc>
          <w:tcPr>
            <w:tcW w:w="858" w:type="dxa"/>
            <w:tcBorders>
              <w:top w:val="nil"/>
              <w:left w:val="nil"/>
              <w:bottom w:val="single" w:color="auto" w:sz="4" w:space="0"/>
              <w:right w:val="single" w:color="auto" w:sz="4" w:space="0"/>
            </w:tcBorders>
            <w:vAlign w:val="center"/>
          </w:tcPr>
          <w:p>
            <w:pPr>
              <w:jc w:val="center"/>
              <w:rPr>
                <w:i/>
                <w:iCs/>
                <w:color w:val="000000"/>
                <w:sz w:val="20"/>
                <w:szCs w:val="20"/>
              </w:rPr>
            </w:pPr>
            <w:r>
              <w:rPr>
                <w:i/>
                <w:iCs/>
                <w:color w:val="000000"/>
                <w:sz w:val="20"/>
                <w:szCs w:val="20"/>
              </w:rPr>
              <w:t>13,2</w:t>
            </w:r>
          </w:p>
        </w:tc>
      </w:tr>
      <w:tr>
        <w:tblPrEx>
          <w:tblLayout w:type="fixed"/>
          <w:tblCellMar>
            <w:top w:w="0" w:type="dxa"/>
            <w:left w:w="108" w:type="dxa"/>
            <w:bottom w:w="0" w:type="dxa"/>
            <w:right w:w="108" w:type="dxa"/>
          </w:tblCellMar>
        </w:tblPrEx>
        <w:trPr>
          <w:trHeight w:val="255" w:hRule="atLeast"/>
        </w:trPr>
        <w:tc>
          <w:tcPr>
            <w:tcW w:w="3681" w:type="dxa"/>
            <w:tcBorders>
              <w:top w:val="nil"/>
              <w:left w:val="single" w:color="auto" w:sz="4" w:space="0"/>
              <w:bottom w:val="single" w:color="auto" w:sz="4" w:space="0"/>
              <w:right w:val="single" w:color="auto" w:sz="4" w:space="0"/>
            </w:tcBorders>
            <w:shd w:val="clear" w:color="auto" w:fill="auto"/>
            <w:vAlign w:val="center"/>
          </w:tcPr>
          <w:p>
            <w:pPr>
              <w:spacing w:before="20" w:after="20"/>
              <w:jc w:val="both"/>
              <w:rPr>
                <w:sz w:val="20"/>
                <w:szCs w:val="20"/>
              </w:rPr>
            </w:pPr>
            <w:r>
              <w:rPr>
                <w:sz w:val="20"/>
                <w:szCs w:val="20"/>
              </w:rPr>
              <w:t>Миграционный прирост, в т.ч.:</w:t>
            </w:r>
          </w:p>
        </w:tc>
        <w:tc>
          <w:tcPr>
            <w:tcW w:w="1099"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чел.</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690</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-129</w:t>
            </w:r>
          </w:p>
        </w:tc>
        <w:tc>
          <w:tcPr>
            <w:tcW w:w="858"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-672</w:t>
            </w:r>
          </w:p>
        </w:tc>
        <w:tc>
          <w:tcPr>
            <w:tcW w:w="857"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1366</w:t>
            </w:r>
          </w:p>
        </w:tc>
        <w:tc>
          <w:tcPr>
            <w:tcW w:w="858"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892</w:t>
            </w:r>
          </w:p>
        </w:tc>
      </w:tr>
    </w:tbl>
    <w:p>
      <w:pPr>
        <w:autoSpaceDE w:val="0"/>
        <w:autoSpaceDN w:val="0"/>
        <w:adjustRightInd w:val="0"/>
        <w:spacing w:before="120" w:after="120"/>
        <w:jc w:val="both"/>
        <w:rPr>
          <w:sz w:val="20"/>
          <w:szCs w:val="20"/>
        </w:rPr>
      </w:pPr>
      <w:r>
        <w:rPr>
          <w:sz w:val="20"/>
          <w:szCs w:val="20"/>
        </w:rPr>
        <w:t xml:space="preserve">Источник: база Росстата «Показатели муниципальных образований» и оценки ООО «ЦТЭС». </w:t>
      </w:r>
    </w:p>
    <w:p>
      <w:pPr>
        <w:pStyle w:val="42"/>
        <w:spacing w:line="360" w:lineRule="auto"/>
        <w:ind w:left="0" w:firstLine="567"/>
        <w:rPr>
          <w:b w:val="0"/>
          <w:sz w:val="28"/>
          <w:szCs w:val="28"/>
        </w:rPr>
      </w:pPr>
      <w:r>
        <w:rPr>
          <w:b w:val="0"/>
          <w:sz w:val="28"/>
          <w:szCs w:val="28"/>
        </w:rPr>
        <w:t xml:space="preserve">Вероятный сценарий по мнению разработчиков настоящей Программы – стабилизация численности населения с последующим небольшим снижением до 2029 года. Основания думать так следующие: </w:t>
      </w:r>
    </w:p>
    <w:p>
      <w:pPr>
        <w:pStyle w:val="42"/>
        <w:numPr>
          <w:ilvl w:val="0"/>
          <w:numId w:val="52"/>
        </w:numPr>
        <w:spacing w:line="360" w:lineRule="auto"/>
        <w:ind w:left="1134" w:hanging="567"/>
        <w:rPr>
          <w:b w:val="0"/>
          <w:sz w:val="28"/>
          <w:szCs w:val="28"/>
        </w:rPr>
      </w:pPr>
      <w:r>
        <w:rPr>
          <w:b w:val="0"/>
          <w:sz w:val="28"/>
          <w:szCs w:val="28"/>
        </w:rPr>
        <w:t xml:space="preserve">Общие коэффициенты смертности и рождаемости достаточно инерционные драйверы роста численности населения, поскольку зависят от превалирующего представления семей о количестве детей, уровня развития медицины, образа жизни граждан, экологии и ряда других факторов, качественного и быстрого улучшения которых ожидать в обозримой перспективе не стоит. Следует также понимать, что наибольшее количество (самые высокие коэффициенты рождаемости) новорожденных появляется у женщин в возрасте от 20 до 30 лет и существенную часть этой группы на рассматриваемый период будут составлять относительно малочисленное поколение женщин, рожденных в «провальные» 1990-е годы. Другими словами, рождаемость в рассматриваемый период будет падать. </w:t>
      </w:r>
    </w:p>
    <w:p>
      <w:pPr>
        <w:pStyle w:val="42"/>
        <w:numPr>
          <w:ilvl w:val="0"/>
          <w:numId w:val="52"/>
        </w:numPr>
        <w:spacing w:line="360" w:lineRule="auto"/>
        <w:ind w:left="1134" w:hanging="567"/>
        <w:rPr>
          <w:b w:val="0"/>
          <w:sz w:val="28"/>
          <w:szCs w:val="28"/>
        </w:rPr>
      </w:pPr>
      <w:r>
        <w:rPr>
          <w:b w:val="0"/>
          <w:sz w:val="28"/>
          <w:szCs w:val="28"/>
        </w:rPr>
        <w:t>Наблюдающиеся миграционные потоки также не дают повода ожидать кардинального изменения ситуации на период действия настоящей Программы.</w:t>
      </w:r>
    </w:p>
    <w:p>
      <w:pPr>
        <w:pStyle w:val="777"/>
        <w:spacing w:before="0" w:after="0" w:line="360" w:lineRule="auto"/>
        <w:ind w:firstLine="567"/>
        <w:rPr>
          <w:spacing w:val="0"/>
          <w:sz w:val="28"/>
          <w:szCs w:val="28"/>
        </w:rPr>
      </w:pPr>
      <w:r>
        <w:rPr>
          <w:spacing w:val="0"/>
          <w:sz w:val="28"/>
          <w:szCs w:val="28"/>
        </w:rPr>
        <w:t>ООО «ЦТЭС» сделало прогноз численности населения на основе данных о половозрастной структуре населения (по 32 половозрастным группам) методом передвижки возрастов с использованием показателей рождаемости по нескольким возрастным группам женщин в детородном возрасте и показателей смертности по каждой из 16 возрастных групп. При прогнозировании были учтены особенности развития территории и изменения в половозрастной структуре населения; прогноз базировался на гипотезе о постепенном улучшении коэффициентов рождаемости (повышение) и смертности (снижение) и сохранении миграционных тенденций (потоков). Показатели, характеризующие динамику численности населения, представлены в таблице 3-2 и Приложении 1.</w:t>
      </w:r>
    </w:p>
    <w:p>
      <w:pPr>
        <w:spacing w:line="360" w:lineRule="auto"/>
        <w:jc w:val="both"/>
        <w:rPr>
          <w:b/>
          <w:sz w:val="28"/>
          <w:szCs w:val="28"/>
        </w:rPr>
      </w:pPr>
      <w:r>
        <w:rPr>
          <w:b/>
          <w:sz w:val="28"/>
          <w:szCs w:val="28"/>
        </w:rPr>
        <w:t>Таблица 3-2. Динамика численности населения</w:t>
      </w:r>
    </w:p>
    <w:tbl>
      <w:tblPr>
        <w:tblStyle w:val="100"/>
        <w:tblW w:w="900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993"/>
        <w:gridCol w:w="779"/>
        <w:gridCol w:w="780"/>
        <w:gridCol w:w="779"/>
        <w:gridCol w:w="780"/>
        <w:gridCol w:w="779"/>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trPr>
        <w:tc>
          <w:tcPr>
            <w:tcW w:w="2552" w:type="dxa"/>
            <w:vAlign w:val="center"/>
          </w:tcPr>
          <w:p>
            <w:pPr>
              <w:pStyle w:val="775"/>
              <w:spacing w:before="20" w:after="20"/>
              <w:rPr>
                <w:lang w:val="ru-RU"/>
              </w:rPr>
            </w:pPr>
            <w:r>
              <w:rPr>
                <w:lang w:val="ru-RU"/>
              </w:rPr>
              <w:t>Показатели</w:t>
            </w:r>
          </w:p>
        </w:tc>
        <w:tc>
          <w:tcPr>
            <w:tcW w:w="993" w:type="dxa"/>
            <w:vAlign w:val="center"/>
          </w:tcPr>
          <w:p>
            <w:pPr>
              <w:pStyle w:val="775"/>
              <w:spacing w:before="20" w:after="20"/>
              <w:rPr>
                <w:lang w:val="ru-RU"/>
              </w:rPr>
            </w:pPr>
            <w:r>
              <w:rPr>
                <w:lang w:val="ru-RU"/>
              </w:rPr>
              <w:t>Ед. изм.</w:t>
            </w:r>
          </w:p>
        </w:tc>
        <w:tc>
          <w:tcPr>
            <w:tcW w:w="779" w:type="dxa"/>
            <w:vAlign w:val="center"/>
          </w:tcPr>
          <w:p>
            <w:pPr>
              <w:spacing w:before="20" w:after="20"/>
              <w:jc w:val="center"/>
              <w:rPr>
                <w:b/>
                <w:bCs/>
                <w:sz w:val="20"/>
                <w:szCs w:val="20"/>
              </w:rPr>
            </w:pPr>
            <w:r>
              <w:rPr>
                <w:b/>
                <w:bCs/>
                <w:sz w:val="20"/>
                <w:szCs w:val="20"/>
              </w:rPr>
              <w:t>2018</w:t>
            </w:r>
          </w:p>
        </w:tc>
        <w:tc>
          <w:tcPr>
            <w:tcW w:w="780" w:type="dxa"/>
            <w:vAlign w:val="center"/>
          </w:tcPr>
          <w:p>
            <w:pPr>
              <w:spacing w:before="20" w:after="20"/>
              <w:jc w:val="center"/>
              <w:rPr>
                <w:b/>
                <w:bCs/>
                <w:sz w:val="20"/>
                <w:szCs w:val="20"/>
              </w:rPr>
            </w:pPr>
            <w:r>
              <w:rPr>
                <w:b/>
                <w:bCs/>
                <w:sz w:val="20"/>
                <w:szCs w:val="20"/>
              </w:rPr>
              <w:t>2019</w:t>
            </w:r>
          </w:p>
        </w:tc>
        <w:tc>
          <w:tcPr>
            <w:tcW w:w="779" w:type="dxa"/>
            <w:vAlign w:val="center"/>
          </w:tcPr>
          <w:p>
            <w:pPr>
              <w:spacing w:before="20" w:after="20"/>
              <w:jc w:val="center"/>
              <w:rPr>
                <w:b/>
                <w:bCs/>
                <w:sz w:val="20"/>
                <w:szCs w:val="20"/>
              </w:rPr>
            </w:pPr>
            <w:r>
              <w:rPr>
                <w:b/>
                <w:bCs/>
                <w:sz w:val="20"/>
                <w:szCs w:val="20"/>
              </w:rPr>
              <w:t>2020</w:t>
            </w:r>
          </w:p>
        </w:tc>
        <w:tc>
          <w:tcPr>
            <w:tcW w:w="780" w:type="dxa"/>
            <w:vAlign w:val="center"/>
          </w:tcPr>
          <w:p>
            <w:pPr>
              <w:spacing w:before="20" w:after="20"/>
              <w:jc w:val="center"/>
              <w:rPr>
                <w:b/>
                <w:bCs/>
                <w:sz w:val="20"/>
                <w:szCs w:val="20"/>
              </w:rPr>
            </w:pPr>
            <w:r>
              <w:rPr>
                <w:b/>
                <w:bCs/>
                <w:sz w:val="20"/>
                <w:szCs w:val="20"/>
              </w:rPr>
              <w:t>2021</w:t>
            </w:r>
          </w:p>
        </w:tc>
        <w:tc>
          <w:tcPr>
            <w:tcW w:w="779" w:type="dxa"/>
            <w:vAlign w:val="center"/>
          </w:tcPr>
          <w:p>
            <w:pPr>
              <w:spacing w:before="20" w:after="20"/>
              <w:jc w:val="center"/>
              <w:rPr>
                <w:b/>
                <w:bCs/>
                <w:sz w:val="20"/>
                <w:szCs w:val="20"/>
              </w:rPr>
            </w:pPr>
            <w:r>
              <w:rPr>
                <w:b/>
                <w:bCs/>
                <w:sz w:val="20"/>
                <w:szCs w:val="20"/>
              </w:rPr>
              <w:t>2022</w:t>
            </w:r>
          </w:p>
        </w:tc>
        <w:tc>
          <w:tcPr>
            <w:tcW w:w="780" w:type="dxa"/>
            <w:vAlign w:val="center"/>
          </w:tcPr>
          <w:p>
            <w:pPr>
              <w:spacing w:before="20" w:after="20"/>
              <w:jc w:val="center"/>
              <w:rPr>
                <w:b/>
                <w:bCs/>
                <w:sz w:val="20"/>
                <w:szCs w:val="20"/>
              </w:rPr>
            </w:pPr>
            <w:r>
              <w:rPr>
                <w:b/>
                <w:bCs/>
                <w:sz w:val="20"/>
                <w:szCs w:val="20"/>
              </w:rPr>
              <w:t>2027</w:t>
            </w:r>
          </w:p>
        </w:tc>
        <w:tc>
          <w:tcPr>
            <w:tcW w:w="780" w:type="dxa"/>
            <w:vAlign w:val="center"/>
          </w:tcPr>
          <w:p>
            <w:pPr>
              <w:spacing w:before="20" w:after="20"/>
              <w:jc w:val="center"/>
              <w:rPr>
                <w:b/>
                <w:bCs/>
                <w:sz w:val="20"/>
                <w:szCs w:val="20"/>
              </w:rPr>
            </w:pPr>
            <w:r>
              <w:rPr>
                <w:b/>
                <w:bCs/>
                <w:sz w:val="20"/>
                <w:szCs w:val="20"/>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pPr>
            <w:r>
              <w:t xml:space="preserve">Численность постоянного населения среднегодовая </w:t>
            </w:r>
          </w:p>
        </w:tc>
        <w:tc>
          <w:tcPr>
            <w:tcW w:w="993" w:type="dxa"/>
            <w:vAlign w:val="center"/>
          </w:tcPr>
          <w:p>
            <w:pPr>
              <w:pStyle w:val="776"/>
              <w:spacing w:before="20" w:after="20"/>
              <w:jc w:val="center"/>
            </w:pPr>
            <w:r>
              <w:t>тыс. чел.</w:t>
            </w:r>
          </w:p>
        </w:tc>
        <w:tc>
          <w:tcPr>
            <w:tcW w:w="779" w:type="dxa"/>
            <w:vAlign w:val="center"/>
          </w:tcPr>
          <w:p>
            <w:pPr>
              <w:jc w:val="center"/>
              <w:rPr>
                <w:color w:val="000000"/>
                <w:sz w:val="20"/>
                <w:szCs w:val="20"/>
              </w:rPr>
            </w:pPr>
            <w:r>
              <w:rPr>
                <w:color w:val="000000"/>
                <w:sz w:val="20"/>
                <w:szCs w:val="20"/>
              </w:rPr>
              <w:t>146,5</w:t>
            </w:r>
          </w:p>
        </w:tc>
        <w:tc>
          <w:tcPr>
            <w:tcW w:w="780" w:type="dxa"/>
            <w:vAlign w:val="center"/>
          </w:tcPr>
          <w:p>
            <w:pPr>
              <w:jc w:val="center"/>
              <w:rPr>
                <w:color w:val="000000"/>
                <w:sz w:val="20"/>
                <w:szCs w:val="20"/>
              </w:rPr>
            </w:pPr>
            <w:r>
              <w:rPr>
                <w:color w:val="000000"/>
                <w:sz w:val="20"/>
                <w:szCs w:val="20"/>
              </w:rPr>
              <w:t>146,4</w:t>
            </w:r>
          </w:p>
        </w:tc>
        <w:tc>
          <w:tcPr>
            <w:tcW w:w="779" w:type="dxa"/>
            <w:vAlign w:val="center"/>
          </w:tcPr>
          <w:p>
            <w:pPr>
              <w:jc w:val="center"/>
              <w:rPr>
                <w:color w:val="000000"/>
                <w:sz w:val="20"/>
                <w:szCs w:val="20"/>
              </w:rPr>
            </w:pPr>
            <w:r>
              <w:rPr>
                <w:color w:val="000000"/>
                <w:sz w:val="20"/>
                <w:szCs w:val="20"/>
              </w:rPr>
              <w:t>146,3</w:t>
            </w:r>
          </w:p>
        </w:tc>
        <w:tc>
          <w:tcPr>
            <w:tcW w:w="780" w:type="dxa"/>
            <w:vAlign w:val="center"/>
          </w:tcPr>
          <w:p>
            <w:pPr>
              <w:jc w:val="center"/>
              <w:rPr>
                <w:color w:val="000000"/>
                <w:sz w:val="20"/>
                <w:szCs w:val="20"/>
              </w:rPr>
            </w:pPr>
            <w:r>
              <w:rPr>
                <w:color w:val="000000"/>
                <w:sz w:val="20"/>
                <w:szCs w:val="20"/>
              </w:rPr>
              <w:t>146,2</w:t>
            </w:r>
          </w:p>
        </w:tc>
        <w:tc>
          <w:tcPr>
            <w:tcW w:w="779" w:type="dxa"/>
            <w:vAlign w:val="center"/>
          </w:tcPr>
          <w:p>
            <w:pPr>
              <w:jc w:val="center"/>
              <w:rPr>
                <w:color w:val="000000"/>
                <w:sz w:val="20"/>
                <w:szCs w:val="20"/>
              </w:rPr>
            </w:pPr>
            <w:r>
              <w:rPr>
                <w:color w:val="000000"/>
                <w:sz w:val="20"/>
                <w:szCs w:val="20"/>
              </w:rPr>
              <w:t>146,0</w:t>
            </w:r>
          </w:p>
        </w:tc>
        <w:tc>
          <w:tcPr>
            <w:tcW w:w="780" w:type="dxa"/>
            <w:vAlign w:val="center"/>
          </w:tcPr>
          <w:p>
            <w:pPr>
              <w:jc w:val="center"/>
              <w:rPr>
                <w:color w:val="000000"/>
                <w:sz w:val="20"/>
                <w:szCs w:val="20"/>
              </w:rPr>
            </w:pPr>
            <w:r>
              <w:rPr>
                <w:color w:val="000000"/>
                <w:sz w:val="20"/>
                <w:szCs w:val="20"/>
              </w:rPr>
              <w:t>145,2</w:t>
            </w:r>
          </w:p>
        </w:tc>
        <w:tc>
          <w:tcPr>
            <w:tcW w:w="780" w:type="dxa"/>
            <w:vAlign w:val="center"/>
          </w:tcPr>
          <w:p>
            <w:pPr>
              <w:jc w:val="center"/>
              <w:rPr>
                <w:color w:val="000000"/>
                <w:sz w:val="20"/>
                <w:szCs w:val="20"/>
              </w:rPr>
            </w:pPr>
            <w:r>
              <w:rPr>
                <w:color w:val="000000"/>
                <w:sz w:val="20"/>
                <w:szCs w:val="20"/>
              </w:rPr>
              <w:t>145,2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pPr>
            <w:r>
              <w:t xml:space="preserve">Численность постоянного населения на конец года, в т.ч.: </w:t>
            </w:r>
          </w:p>
        </w:tc>
        <w:tc>
          <w:tcPr>
            <w:tcW w:w="993" w:type="dxa"/>
            <w:vAlign w:val="center"/>
          </w:tcPr>
          <w:p>
            <w:pPr>
              <w:pStyle w:val="776"/>
              <w:spacing w:before="20" w:after="20"/>
              <w:jc w:val="center"/>
            </w:pPr>
            <w:r>
              <w:t>тыс. чел.</w:t>
            </w:r>
          </w:p>
        </w:tc>
        <w:tc>
          <w:tcPr>
            <w:tcW w:w="779" w:type="dxa"/>
            <w:vAlign w:val="center"/>
          </w:tcPr>
          <w:p>
            <w:pPr>
              <w:jc w:val="center"/>
              <w:rPr>
                <w:color w:val="000000"/>
                <w:sz w:val="20"/>
                <w:szCs w:val="20"/>
              </w:rPr>
            </w:pPr>
            <w:r>
              <w:rPr>
                <w:color w:val="000000"/>
                <w:sz w:val="20"/>
                <w:szCs w:val="20"/>
              </w:rPr>
              <w:t>146,5</w:t>
            </w:r>
          </w:p>
        </w:tc>
        <w:tc>
          <w:tcPr>
            <w:tcW w:w="780" w:type="dxa"/>
            <w:vAlign w:val="center"/>
          </w:tcPr>
          <w:p>
            <w:pPr>
              <w:jc w:val="center"/>
              <w:rPr>
                <w:color w:val="000000"/>
                <w:sz w:val="20"/>
                <w:szCs w:val="20"/>
              </w:rPr>
            </w:pPr>
            <w:r>
              <w:rPr>
                <w:color w:val="000000"/>
                <w:sz w:val="20"/>
                <w:szCs w:val="20"/>
              </w:rPr>
              <w:t>146,4</w:t>
            </w:r>
          </w:p>
        </w:tc>
        <w:tc>
          <w:tcPr>
            <w:tcW w:w="779" w:type="dxa"/>
            <w:vAlign w:val="center"/>
          </w:tcPr>
          <w:p>
            <w:pPr>
              <w:jc w:val="center"/>
              <w:rPr>
                <w:color w:val="000000"/>
                <w:sz w:val="20"/>
                <w:szCs w:val="20"/>
              </w:rPr>
            </w:pPr>
            <w:r>
              <w:rPr>
                <w:color w:val="000000"/>
                <w:sz w:val="20"/>
                <w:szCs w:val="20"/>
              </w:rPr>
              <w:t>146,3</w:t>
            </w:r>
          </w:p>
        </w:tc>
        <w:tc>
          <w:tcPr>
            <w:tcW w:w="780" w:type="dxa"/>
            <w:vAlign w:val="center"/>
          </w:tcPr>
          <w:p>
            <w:pPr>
              <w:jc w:val="center"/>
              <w:rPr>
                <w:color w:val="000000"/>
                <w:sz w:val="20"/>
                <w:szCs w:val="20"/>
              </w:rPr>
            </w:pPr>
            <w:r>
              <w:rPr>
                <w:color w:val="000000"/>
                <w:sz w:val="20"/>
                <w:szCs w:val="20"/>
              </w:rPr>
              <w:t>146,1</w:t>
            </w:r>
          </w:p>
        </w:tc>
        <w:tc>
          <w:tcPr>
            <w:tcW w:w="779" w:type="dxa"/>
            <w:vAlign w:val="center"/>
          </w:tcPr>
          <w:p>
            <w:pPr>
              <w:jc w:val="center"/>
              <w:rPr>
                <w:color w:val="000000"/>
                <w:sz w:val="20"/>
                <w:szCs w:val="20"/>
              </w:rPr>
            </w:pPr>
            <w:r>
              <w:rPr>
                <w:color w:val="000000"/>
                <w:sz w:val="20"/>
                <w:szCs w:val="20"/>
              </w:rPr>
              <w:t>145,9</w:t>
            </w:r>
          </w:p>
        </w:tc>
        <w:tc>
          <w:tcPr>
            <w:tcW w:w="780" w:type="dxa"/>
            <w:vAlign w:val="center"/>
          </w:tcPr>
          <w:p>
            <w:pPr>
              <w:jc w:val="center"/>
              <w:rPr>
                <w:color w:val="000000"/>
                <w:sz w:val="20"/>
                <w:szCs w:val="20"/>
              </w:rPr>
            </w:pPr>
            <w:r>
              <w:rPr>
                <w:color w:val="000000"/>
                <w:sz w:val="20"/>
                <w:szCs w:val="20"/>
              </w:rPr>
              <w:t>145,2</w:t>
            </w:r>
          </w:p>
        </w:tc>
        <w:tc>
          <w:tcPr>
            <w:tcW w:w="780" w:type="dxa"/>
            <w:vAlign w:val="center"/>
          </w:tcPr>
          <w:p>
            <w:pPr>
              <w:jc w:val="center"/>
              <w:rPr>
                <w:color w:val="000000"/>
                <w:sz w:val="20"/>
                <w:szCs w:val="20"/>
              </w:rPr>
            </w:pPr>
            <w:r>
              <w:rPr>
                <w:color w:val="000000"/>
                <w:sz w:val="20"/>
                <w:szCs w:val="20"/>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rPr>
                <w:i/>
              </w:rPr>
            </w:pPr>
            <w:r>
              <w:rPr>
                <w:i/>
              </w:rPr>
              <w:t>по половой структуре:</w:t>
            </w:r>
          </w:p>
        </w:tc>
        <w:tc>
          <w:tcPr>
            <w:tcW w:w="993" w:type="dxa"/>
            <w:vAlign w:val="center"/>
          </w:tcPr>
          <w:p>
            <w:pPr>
              <w:spacing w:before="20" w:after="20"/>
              <w:jc w:val="center"/>
              <w:rPr>
                <w:sz w:val="20"/>
                <w:szCs w:val="20"/>
              </w:rPr>
            </w:pPr>
            <w:r>
              <w:rPr>
                <w:sz w:val="20"/>
                <w:szCs w:val="20"/>
              </w:rPr>
              <w:t>тыс. чел.</w:t>
            </w:r>
          </w:p>
        </w:tc>
        <w:tc>
          <w:tcPr>
            <w:tcW w:w="779" w:type="dxa"/>
            <w:vAlign w:val="center"/>
          </w:tcPr>
          <w:p>
            <w:pPr>
              <w:jc w:val="center"/>
              <w:rPr>
                <w:i/>
                <w:iCs/>
                <w:color w:val="000000"/>
                <w:sz w:val="20"/>
                <w:szCs w:val="20"/>
              </w:rPr>
            </w:pPr>
            <w:r>
              <w:rPr>
                <w:i/>
                <w:iCs/>
                <w:color w:val="000000"/>
                <w:sz w:val="20"/>
                <w:szCs w:val="20"/>
              </w:rPr>
              <w:t>146,5</w:t>
            </w:r>
          </w:p>
        </w:tc>
        <w:tc>
          <w:tcPr>
            <w:tcW w:w="780" w:type="dxa"/>
            <w:vAlign w:val="center"/>
          </w:tcPr>
          <w:p>
            <w:pPr>
              <w:jc w:val="center"/>
              <w:rPr>
                <w:i/>
                <w:iCs/>
                <w:color w:val="000000"/>
                <w:sz w:val="20"/>
                <w:szCs w:val="20"/>
              </w:rPr>
            </w:pPr>
            <w:r>
              <w:rPr>
                <w:i/>
                <w:iCs/>
                <w:color w:val="000000"/>
                <w:sz w:val="20"/>
                <w:szCs w:val="20"/>
              </w:rPr>
              <w:t>146,4</w:t>
            </w:r>
          </w:p>
        </w:tc>
        <w:tc>
          <w:tcPr>
            <w:tcW w:w="779" w:type="dxa"/>
            <w:vAlign w:val="center"/>
          </w:tcPr>
          <w:p>
            <w:pPr>
              <w:jc w:val="center"/>
              <w:rPr>
                <w:i/>
                <w:iCs/>
                <w:color w:val="000000"/>
                <w:sz w:val="20"/>
                <w:szCs w:val="20"/>
              </w:rPr>
            </w:pPr>
            <w:r>
              <w:rPr>
                <w:i/>
                <w:iCs/>
                <w:color w:val="000000"/>
                <w:sz w:val="20"/>
                <w:szCs w:val="20"/>
              </w:rPr>
              <w:t>146,3</w:t>
            </w:r>
          </w:p>
        </w:tc>
        <w:tc>
          <w:tcPr>
            <w:tcW w:w="780" w:type="dxa"/>
            <w:vAlign w:val="center"/>
          </w:tcPr>
          <w:p>
            <w:pPr>
              <w:jc w:val="center"/>
              <w:rPr>
                <w:i/>
                <w:iCs/>
                <w:color w:val="000000"/>
                <w:sz w:val="20"/>
                <w:szCs w:val="20"/>
              </w:rPr>
            </w:pPr>
            <w:r>
              <w:rPr>
                <w:i/>
                <w:iCs/>
                <w:color w:val="000000"/>
                <w:sz w:val="20"/>
                <w:szCs w:val="20"/>
              </w:rPr>
              <w:t>146,1</w:t>
            </w:r>
          </w:p>
        </w:tc>
        <w:tc>
          <w:tcPr>
            <w:tcW w:w="779" w:type="dxa"/>
            <w:vAlign w:val="center"/>
          </w:tcPr>
          <w:p>
            <w:pPr>
              <w:jc w:val="center"/>
              <w:rPr>
                <w:i/>
                <w:iCs/>
                <w:color w:val="000000"/>
                <w:sz w:val="20"/>
                <w:szCs w:val="20"/>
              </w:rPr>
            </w:pPr>
            <w:r>
              <w:rPr>
                <w:i/>
                <w:iCs/>
                <w:color w:val="000000"/>
                <w:sz w:val="20"/>
                <w:szCs w:val="20"/>
              </w:rPr>
              <w:t>145,9</w:t>
            </w:r>
          </w:p>
        </w:tc>
        <w:tc>
          <w:tcPr>
            <w:tcW w:w="780" w:type="dxa"/>
            <w:vAlign w:val="center"/>
          </w:tcPr>
          <w:p>
            <w:pPr>
              <w:jc w:val="center"/>
              <w:rPr>
                <w:i/>
                <w:iCs/>
                <w:color w:val="000000"/>
                <w:sz w:val="20"/>
                <w:szCs w:val="20"/>
              </w:rPr>
            </w:pPr>
            <w:r>
              <w:rPr>
                <w:i/>
                <w:iCs/>
                <w:color w:val="000000"/>
                <w:sz w:val="20"/>
                <w:szCs w:val="20"/>
              </w:rPr>
              <w:t>145,2</w:t>
            </w:r>
          </w:p>
        </w:tc>
        <w:tc>
          <w:tcPr>
            <w:tcW w:w="780" w:type="dxa"/>
            <w:vAlign w:val="center"/>
          </w:tcPr>
          <w:p>
            <w:pPr>
              <w:jc w:val="center"/>
              <w:rPr>
                <w:i/>
                <w:iCs/>
                <w:color w:val="000000"/>
                <w:sz w:val="20"/>
                <w:szCs w:val="20"/>
              </w:rPr>
            </w:pPr>
            <w:r>
              <w:rPr>
                <w:i/>
                <w:iCs/>
                <w:color w:val="000000"/>
                <w:sz w:val="20"/>
                <w:szCs w:val="20"/>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ind w:left="63"/>
            </w:pPr>
            <w:r>
              <w:t>мужчины</w:t>
            </w:r>
          </w:p>
        </w:tc>
        <w:tc>
          <w:tcPr>
            <w:tcW w:w="993" w:type="dxa"/>
            <w:vAlign w:val="center"/>
          </w:tcPr>
          <w:p>
            <w:pPr>
              <w:spacing w:before="20" w:after="20"/>
              <w:jc w:val="center"/>
            </w:pPr>
            <w:r>
              <w:rPr>
                <w:sz w:val="20"/>
                <w:szCs w:val="20"/>
              </w:rPr>
              <w:t>тыс. чел.</w:t>
            </w:r>
          </w:p>
        </w:tc>
        <w:tc>
          <w:tcPr>
            <w:tcW w:w="779" w:type="dxa"/>
            <w:vAlign w:val="center"/>
          </w:tcPr>
          <w:p>
            <w:pPr>
              <w:jc w:val="center"/>
              <w:rPr>
                <w:color w:val="000000"/>
                <w:sz w:val="20"/>
                <w:szCs w:val="20"/>
              </w:rPr>
            </w:pPr>
            <w:r>
              <w:rPr>
                <w:color w:val="000000"/>
                <w:sz w:val="20"/>
                <w:szCs w:val="20"/>
              </w:rPr>
              <w:t>65,2</w:t>
            </w:r>
          </w:p>
        </w:tc>
        <w:tc>
          <w:tcPr>
            <w:tcW w:w="780" w:type="dxa"/>
            <w:vAlign w:val="center"/>
          </w:tcPr>
          <w:p>
            <w:pPr>
              <w:jc w:val="center"/>
              <w:rPr>
                <w:color w:val="000000"/>
                <w:sz w:val="20"/>
                <w:szCs w:val="20"/>
              </w:rPr>
            </w:pPr>
            <w:r>
              <w:rPr>
                <w:color w:val="000000"/>
                <w:sz w:val="20"/>
                <w:szCs w:val="20"/>
              </w:rPr>
              <w:t>65,0</w:t>
            </w:r>
          </w:p>
        </w:tc>
        <w:tc>
          <w:tcPr>
            <w:tcW w:w="779" w:type="dxa"/>
            <w:vAlign w:val="center"/>
          </w:tcPr>
          <w:p>
            <w:pPr>
              <w:jc w:val="center"/>
              <w:rPr>
                <w:color w:val="000000"/>
                <w:sz w:val="20"/>
                <w:szCs w:val="20"/>
              </w:rPr>
            </w:pPr>
            <w:r>
              <w:rPr>
                <w:color w:val="000000"/>
                <w:sz w:val="20"/>
                <w:szCs w:val="20"/>
              </w:rPr>
              <w:t>64,7</w:t>
            </w:r>
          </w:p>
        </w:tc>
        <w:tc>
          <w:tcPr>
            <w:tcW w:w="780" w:type="dxa"/>
            <w:vAlign w:val="center"/>
          </w:tcPr>
          <w:p>
            <w:pPr>
              <w:jc w:val="center"/>
              <w:rPr>
                <w:color w:val="000000"/>
                <w:sz w:val="20"/>
                <w:szCs w:val="20"/>
              </w:rPr>
            </w:pPr>
            <w:r>
              <w:rPr>
                <w:color w:val="000000"/>
                <w:sz w:val="20"/>
                <w:szCs w:val="20"/>
              </w:rPr>
              <w:t>64,4</w:t>
            </w:r>
          </w:p>
        </w:tc>
        <w:tc>
          <w:tcPr>
            <w:tcW w:w="779" w:type="dxa"/>
            <w:vAlign w:val="center"/>
          </w:tcPr>
          <w:p>
            <w:pPr>
              <w:jc w:val="center"/>
              <w:rPr>
                <w:color w:val="000000"/>
                <w:sz w:val="20"/>
                <w:szCs w:val="20"/>
              </w:rPr>
            </w:pPr>
            <w:r>
              <w:rPr>
                <w:color w:val="000000"/>
                <w:sz w:val="20"/>
                <w:szCs w:val="20"/>
              </w:rPr>
              <w:t>64,2</w:t>
            </w:r>
          </w:p>
        </w:tc>
        <w:tc>
          <w:tcPr>
            <w:tcW w:w="780" w:type="dxa"/>
            <w:vAlign w:val="center"/>
          </w:tcPr>
          <w:p>
            <w:pPr>
              <w:jc w:val="center"/>
              <w:rPr>
                <w:color w:val="000000"/>
                <w:sz w:val="20"/>
                <w:szCs w:val="20"/>
              </w:rPr>
            </w:pPr>
            <w:r>
              <w:rPr>
                <w:color w:val="000000"/>
                <w:sz w:val="20"/>
                <w:szCs w:val="20"/>
              </w:rPr>
              <w:t>63,1</w:t>
            </w:r>
          </w:p>
        </w:tc>
        <w:tc>
          <w:tcPr>
            <w:tcW w:w="780" w:type="dxa"/>
            <w:vAlign w:val="center"/>
          </w:tcPr>
          <w:p>
            <w:pPr>
              <w:jc w:val="center"/>
              <w:rPr>
                <w:color w:val="000000"/>
                <w:sz w:val="20"/>
                <w:szCs w:val="20"/>
              </w:rPr>
            </w:pPr>
            <w:r>
              <w:rPr>
                <w:color w:val="000000"/>
                <w:sz w:val="20"/>
                <w:szCs w:val="20"/>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ind w:left="63"/>
            </w:pPr>
            <w:r>
              <w:t>женщины</w:t>
            </w:r>
          </w:p>
        </w:tc>
        <w:tc>
          <w:tcPr>
            <w:tcW w:w="993" w:type="dxa"/>
            <w:vAlign w:val="center"/>
          </w:tcPr>
          <w:p>
            <w:pPr>
              <w:spacing w:before="20" w:after="20"/>
              <w:jc w:val="center"/>
            </w:pPr>
            <w:r>
              <w:rPr>
                <w:sz w:val="20"/>
                <w:szCs w:val="20"/>
              </w:rPr>
              <w:t>тыс. чел.</w:t>
            </w:r>
          </w:p>
        </w:tc>
        <w:tc>
          <w:tcPr>
            <w:tcW w:w="779" w:type="dxa"/>
            <w:vAlign w:val="center"/>
          </w:tcPr>
          <w:p>
            <w:pPr>
              <w:jc w:val="center"/>
              <w:rPr>
                <w:color w:val="000000"/>
                <w:sz w:val="20"/>
                <w:szCs w:val="20"/>
              </w:rPr>
            </w:pPr>
            <w:r>
              <w:rPr>
                <w:color w:val="000000"/>
                <w:sz w:val="20"/>
                <w:szCs w:val="20"/>
              </w:rPr>
              <w:t>81,3</w:t>
            </w:r>
          </w:p>
        </w:tc>
        <w:tc>
          <w:tcPr>
            <w:tcW w:w="780" w:type="dxa"/>
            <w:vAlign w:val="center"/>
          </w:tcPr>
          <w:p>
            <w:pPr>
              <w:jc w:val="center"/>
              <w:rPr>
                <w:color w:val="000000"/>
                <w:sz w:val="20"/>
                <w:szCs w:val="20"/>
              </w:rPr>
            </w:pPr>
            <w:r>
              <w:rPr>
                <w:color w:val="000000"/>
                <w:sz w:val="20"/>
                <w:szCs w:val="20"/>
              </w:rPr>
              <w:t>81,4</w:t>
            </w:r>
          </w:p>
        </w:tc>
        <w:tc>
          <w:tcPr>
            <w:tcW w:w="779" w:type="dxa"/>
            <w:vAlign w:val="center"/>
          </w:tcPr>
          <w:p>
            <w:pPr>
              <w:jc w:val="center"/>
              <w:rPr>
                <w:color w:val="000000"/>
                <w:sz w:val="20"/>
                <w:szCs w:val="20"/>
              </w:rPr>
            </w:pPr>
            <w:r>
              <w:rPr>
                <w:color w:val="000000"/>
                <w:sz w:val="20"/>
                <w:szCs w:val="20"/>
              </w:rPr>
              <w:t>81,5</w:t>
            </w:r>
          </w:p>
        </w:tc>
        <w:tc>
          <w:tcPr>
            <w:tcW w:w="780" w:type="dxa"/>
            <w:vAlign w:val="center"/>
          </w:tcPr>
          <w:p>
            <w:pPr>
              <w:jc w:val="center"/>
              <w:rPr>
                <w:color w:val="000000"/>
                <w:sz w:val="20"/>
                <w:szCs w:val="20"/>
              </w:rPr>
            </w:pPr>
            <w:r>
              <w:rPr>
                <w:color w:val="000000"/>
                <w:sz w:val="20"/>
                <w:szCs w:val="20"/>
              </w:rPr>
              <w:t>81,6</w:t>
            </w:r>
          </w:p>
        </w:tc>
        <w:tc>
          <w:tcPr>
            <w:tcW w:w="779" w:type="dxa"/>
            <w:vAlign w:val="center"/>
          </w:tcPr>
          <w:p>
            <w:pPr>
              <w:jc w:val="center"/>
              <w:rPr>
                <w:color w:val="000000"/>
                <w:sz w:val="20"/>
                <w:szCs w:val="20"/>
              </w:rPr>
            </w:pPr>
            <w:r>
              <w:rPr>
                <w:color w:val="000000"/>
                <w:sz w:val="20"/>
                <w:szCs w:val="20"/>
              </w:rPr>
              <w:t>81,7</w:t>
            </w:r>
          </w:p>
        </w:tc>
        <w:tc>
          <w:tcPr>
            <w:tcW w:w="780" w:type="dxa"/>
            <w:vAlign w:val="center"/>
          </w:tcPr>
          <w:p>
            <w:pPr>
              <w:jc w:val="center"/>
              <w:rPr>
                <w:color w:val="000000"/>
                <w:sz w:val="20"/>
                <w:szCs w:val="20"/>
              </w:rPr>
            </w:pPr>
            <w:r>
              <w:rPr>
                <w:color w:val="000000"/>
                <w:sz w:val="20"/>
                <w:szCs w:val="20"/>
              </w:rPr>
              <w:t>82,1</w:t>
            </w:r>
          </w:p>
        </w:tc>
        <w:tc>
          <w:tcPr>
            <w:tcW w:w="780" w:type="dxa"/>
            <w:vAlign w:val="center"/>
          </w:tcPr>
          <w:p>
            <w:pPr>
              <w:jc w:val="center"/>
              <w:rPr>
                <w:color w:val="000000"/>
                <w:sz w:val="20"/>
                <w:szCs w:val="20"/>
              </w:rPr>
            </w:pPr>
            <w:r>
              <w:rPr>
                <w:color w:val="000000"/>
                <w:sz w:val="20"/>
                <w:szCs w:val="20"/>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rPr>
                <w:i/>
              </w:rPr>
            </w:pPr>
            <w:r>
              <w:rPr>
                <w:i/>
              </w:rPr>
              <w:t>по возрастной структуре:</w:t>
            </w:r>
          </w:p>
        </w:tc>
        <w:tc>
          <w:tcPr>
            <w:tcW w:w="993" w:type="dxa"/>
            <w:vAlign w:val="center"/>
          </w:tcPr>
          <w:p>
            <w:pPr>
              <w:spacing w:before="20" w:after="20"/>
              <w:jc w:val="center"/>
            </w:pPr>
            <w:r>
              <w:rPr>
                <w:sz w:val="20"/>
                <w:szCs w:val="20"/>
              </w:rPr>
              <w:t>тыс. чел.</w:t>
            </w:r>
          </w:p>
        </w:tc>
        <w:tc>
          <w:tcPr>
            <w:tcW w:w="779" w:type="dxa"/>
            <w:vAlign w:val="center"/>
          </w:tcPr>
          <w:p>
            <w:pPr>
              <w:jc w:val="center"/>
              <w:rPr>
                <w:i/>
                <w:iCs/>
                <w:color w:val="000000"/>
                <w:sz w:val="20"/>
                <w:szCs w:val="20"/>
              </w:rPr>
            </w:pPr>
            <w:r>
              <w:rPr>
                <w:i/>
                <w:iCs/>
                <w:color w:val="000000"/>
                <w:sz w:val="20"/>
                <w:szCs w:val="20"/>
              </w:rPr>
              <w:t>146,5</w:t>
            </w:r>
          </w:p>
        </w:tc>
        <w:tc>
          <w:tcPr>
            <w:tcW w:w="780" w:type="dxa"/>
            <w:vAlign w:val="center"/>
          </w:tcPr>
          <w:p>
            <w:pPr>
              <w:jc w:val="center"/>
              <w:rPr>
                <w:i/>
                <w:iCs/>
                <w:color w:val="000000"/>
                <w:sz w:val="20"/>
                <w:szCs w:val="20"/>
              </w:rPr>
            </w:pPr>
            <w:r>
              <w:rPr>
                <w:i/>
                <w:iCs/>
                <w:color w:val="000000"/>
                <w:sz w:val="20"/>
                <w:szCs w:val="20"/>
              </w:rPr>
              <w:t>146,4</w:t>
            </w:r>
          </w:p>
        </w:tc>
        <w:tc>
          <w:tcPr>
            <w:tcW w:w="779" w:type="dxa"/>
            <w:vAlign w:val="center"/>
          </w:tcPr>
          <w:p>
            <w:pPr>
              <w:jc w:val="center"/>
              <w:rPr>
                <w:i/>
                <w:iCs/>
                <w:color w:val="000000"/>
                <w:sz w:val="20"/>
                <w:szCs w:val="20"/>
              </w:rPr>
            </w:pPr>
            <w:r>
              <w:rPr>
                <w:i/>
                <w:iCs/>
                <w:color w:val="000000"/>
                <w:sz w:val="20"/>
                <w:szCs w:val="20"/>
              </w:rPr>
              <w:t>146,3</w:t>
            </w:r>
          </w:p>
        </w:tc>
        <w:tc>
          <w:tcPr>
            <w:tcW w:w="780" w:type="dxa"/>
            <w:vAlign w:val="center"/>
          </w:tcPr>
          <w:p>
            <w:pPr>
              <w:jc w:val="center"/>
              <w:rPr>
                <w:i/>
                <w:iCs/>
                <w:color w:val="000000"/>
                <w:sz w:val="20"/>
                <w:szCs w:val="20"/>
              </w:rPr>
            </w:pPr>
            <w:r>
              <w:rPr>
                <w:i/>
                <w:iCs/>
                <w:color w:val="000000"/>
                <w:sz w:val="20"/>
                <w:szCs w:val="20"/>
              </w:rPr>
              <w:t>146,1</w:t>
            </w:r>
          </w:p>
        </w:tc>
        <w:tc>
          <w:tcPr>
            <w:tcW w:w="779" w:type="dxa"/>
            <w:vAlign w:val="center"/>
          </w:tcPr>
          <w:p>
            <w:pPr>
              <w:jc w:val="center"/>
              <w:rPr>
                <w:i/>
                <w:iCs/>
                <w:color w:val="000000"/>
                <w:sz w:val="20"/>
                <w:szCs w:val="20"/>
              </w:rPr>
            </w:pPr>
            <w:r>
              <w:rPr>
                <w:i/>
                <w:iCs/>
                <w:color w:val="000000"/>
                <w:sz w:val="20"/>
                <w:szCs w:val="20"/>
              </w:rPr>
              <w:t>145,9</w:t>
            </w:r>
          </w:p>
        </w:tc>
        <w:tc>
          <w:tcPr>
            <w:tcW w:w="780" w:type="dxa"/>
            <w:vAlign w:val="center"/>
          </w:tcPr>
          <w:p>
            <w:pPr>
              <w:jc w:val="center"/>
              <w:rPr>
                <w:i/>
                <w:iCs/>
                <w:color w:val="000000"/>
                <w:sz w:val="20"/>
                <w:szCs w:val="20"/>
              </w:rPr>
            </w:pPr>
            <w:r>
              <w:rPr>
                <w:i/>
                <w:iCs/>
                <w:color w:val="000000"/>
                <w:sz w:val="20"/>
                <w:szCs w:val="20"/>
              </w:rPr>
              <w:t>145,2</w:t>
            </w:r>
          </w:p>
        </w:tc>
        <w:tc>
          <w:tcPr>
            <w:tcW w:w="780" w:type="dxa"/>
            <w:vAlign w:val="center"/>
          </w:tcPr>
          <w:p>
            <w:pPr>
              <w:jc w:val="center"/>
              <w:rPr>
                <w:i/>
                <w:iCs/>
                <w:color w:val="000000"/>
                <w:sz w:val="20"/>
                <w:szCs w:val="20"/>
              </w:rPr>
            </w:pPr>
            <w:r>
              <w:rPr>
                <w:i/>
                <w:iCs/>
                <w:color w:val="000000"/>
                <w:sz w:val="20"/>
                <w:szCs w:val="20"/>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ind w:left="63"/>
            </w:pPr>
            <w:r>
              <w:t>младше трудоспособного возраста</w:t>
            </w:r>
          </w:p>
        </w:tc>
        <w:tc>
          <w:tcPr>
            <w:tcW w:w="993" w:type="dxa"/>
            <w:vAlign w:val="center"/>
          </w:tcPr>
          <w:p>
            <w:pPr>
              <w:spacing w:before="20" w:after="20"/>
              <w:jc w:val="center"/>
            </w:pPr>
            <w:r>
              <w:rPr>
                <w:sz w:val="20"/>
                <w:szCs w:val="20"/>
              </w:rPr>
              <w:t>тыс. чел.</w:t>
            </w:r>
          </w:p>
        </w:tc>
        <w:tc>
          <w:tcPr>
            <w:tcW w:w="779" w:type="dxa"/>
            <w:vAlign w:val="center"/>
          </w:tcPr>
          <w:p>
            <w:pPr>
              <w:jc w:val="center"/>
              <w:rPr>
                <w:color w:val="000000"/>
                <w:sz w:val="20"/>
                <w:szCs w:val="20"/>
              </w:rPr>
            </w:pPr>
            <w:r>
              <w:rPr>
                <w:color w:val="000000"/>
                <w:sz w:val="20"/>
                <w:szCs w:val="20"/>
              </w:rPr>
              <w:t>23,3</w:t>
            </w:r>
          </w:p>
        </w:tc>
        <w:tc>
          <w:tcPr>
            <w:tcW w:w="780" w:type="dxa"/>
            <w:vAlign w:val="center"/>
          </w:tcPr>
          <w:p>
            <w:pPr>
              <w:jc w:val="center"/>
              <w:rPr>
                <w:color w:val="000000"/>
                <w:sz w:val="20"/>
                <w:szCs w:val="20"/>
              </w:rPr>
            </w:pPr>
            <w:r>
              <w:rPr>
                <w:color w:val="000000"/>
                <w:sz w:val="20"/>
                <w:szCs w:val="20"/>
              </w:rPr>
              <w:t>23,7</w:t>
            </w:r>
          </w:p>
        </w:tc>
        <w:tc>
          <w:tcPr>
            <w:tcW w:w="779" w:type="dxa"/>
            <w:vAlign w:val="center"/>
          </w:tcPr>
          <w:p>
            <w:pPr>
              <w:jc w:val="center"/>
              <w:rPr>
                <w:color w:val="000000"/>
                <w:sz w:val="20"/>
                <w:szCs w:val="20"/>
              </w:rPr>
            </w:pPr>
            <w:r>
              <w:rPr>
                <w:color w:val="000000"/>
                <w:sz w:val="20"/>
                <w:szCs w:val="20"/>
              </w:rPr>
              <w:t>24,0</w:t>
            </w:r>
          </w:p>
        </w:tc>
        <w:tc>
          <w:tcPr>
            <w:tcW w:w="780" w:type="dxa"/>
            <w:vAlign w:val="center"/>
          </w:tcPr>
          <w:p>
            <w:pPr>
              <w:jc w:val="center"/>
              <w:rPr>
                <w:color w:val="000000"/>
                <w:sz w:val="20"/>
                <w:szCs w:val="20"/>
              </w:rPr>
            </w:pPr>
            <w:r>
              <w:rPr>
                <w:color w:val="000000"/>
                <w:sz w:val="20"/>
                <w:szCs w:val="20"/>
              </w:rPr>
              <w:t>24,2</w:t>
            </w:r>
          </w:p>
        </w:tc>
        <w:tc>
          <w:tcPr>
            <w:tcW w:w="779" w:type="dxa"/>
            <w:vAlign w:val="center"/>
          </w:tcPr>
          <w:p>
            <w:pPr>
              <w:jc w:val="center"/>
              <w:rPr>
                <w:color w:val="000000"/>
                <w:sz w:val="20"/>
                <w:szCs w:val="20"/>
              </w:rPr>
            </w:pPr>
            <w:r>
              <w:rPr>
                <w:color w:val="000000"/>
                <w:sz w:val="20"/>
                <w:szCs w:val="20"/>
              </w:rPr>
              <w:t>24,4</w:t>
            </w:r>
          </w:p>
        </w:tc>
        <w:tc>
          <w:tcPr>
            <w:tcW w:w="780" w:type="dxa"/>
            <w:vAlign w:val="center"/>
          </w:tcPr>
          <w:p>
            <w:pPr>
              <w:jc w:val="center"/>
              <w:rPr>
                <w:color w:val="000000"/>
                <w:sz w:val="20"/>
                <w:szCs w:val="20"/>
              </w:rPr>
            </w:pPr>
            <w:r>
              <w:rPr>
                <w:color w:val="000000"/>
                <w:sz w:val="20"/>
                <w:szCs w:val="20"/>
              </w:rPr>
              <w:t>24,6</w:t>
            </w:r>
          </w:p>
        </w:tc>
        <w:tc>
          <w:tcPr>
            <w:tcW w:w="780" w:type="dxa"/>
            <w:vAlign w:val="center"/>
          </w:tcPr>
          <w:p>
            <w:pPr>
              <w:jc w:val="center"/>
              <w:rPr>
                <w:color w:val="000000"/>
                <w:sz w:val="20"/>
                <w:szCs w:val="20"/>
              </w:rPr>
            </w:pPr>
            <w:r>
              <w:rPr>
                <w:color w:val="000000"/>
                <w:sz w:val="20"/>
                <w:szCs w:val="20"/>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ind w:left="63"/>
            </w:pPr>
            <w:r>
              <w:t>трудоспособное население</w:t>
            </w:r>
          </w:p>
        </w:tc>
        <w:tc>
          <w:tcPr>
            <w:tcW w:w="993" w:type="dxa"/>
            <w:vAlign w:val="center"/>
          </w:tcPr>
          <w:p>
            <w:pPr>
              <w:spacing w:before="20" w:after="20"/>
              <w:jc w:val="center"/>
            </w:pPr>
            <w:r>
              <w:rPr>
                <w:sz w:val="20"/>
                <w:szCs w:val="20"/>
              </w:rPr>
              <w:t>тыс. чел.</w:t>
            </w:r>
          </w:p>
        </w:tc>
        <w:tc>
          <w:tcPr>
            <w:tcW w:w="779" w:type="dxa"/>
            <w:vAlign w:val="center"/>
          </w:tcPr>
          <w:p>
            <w:pPr>
              <w:jc w:val="center"/>
              <w:rPr>
                <w:color w:val="000000"/>
                <w:sz w:val="20"/>
                <w:szCs w:val="20"/>
              </w:rPr>
            </w:pPr>
            <w:r>
              <w:rPr>
                <w:color w:val="000000"/>
                <w:sz w:val="20"/>
                <w:szCs w:val="20"/>
              </w:rPr>
              <w:t>84,4</w:t>
            </w:r>
          </w:p>
        </w:tc>
        <w:tc>
          <w:tcPr>
            <w:tcW w:w="780" w:type="dxa"/>
            <w:vAlign w:val="center"/>
          </w:tcPr>
          <w:p>
            <w:pPr>
              <w:jc w:val="center"/>
              <w:rPr>
                <w:color w:val="000000"/>
                <w:sz w:val="20"/>
                <w:szCs w:val="20"/>
              </w:rPr>
            </w:pPr>
            <w:r>
              <w:rPr>
                <w:color w:val="000000"/>
                <w:sz w:val="20"/>
                <w:szCs w:val="20"/>
              </w:rPr>
              <w:t>83,3</w:t>
            </w:r>
          </w:p>
        </w:tc>
        <w:tc>
          <w:tcPr>
            <w:tcW w:w="779" w:type="dxa"/>
            <w:vAlign w:val="center"/>
          </w:tcPr>
          <w:p>
            <w:pPr>
              <w:jc w:val="center"/>
              <w:rPr>
                <w:color w:val="000000"/>
                <w:sz w:val="20"/>
                <w:szCs w:val="20"/>
              </w:rPr>
            </w:pPr>
            <w:r>
              <w:rPr>
                <w:color w:val="000000"/>
                <w:sz w:val="20"/>
                <w:szCs w:val="20"/>
              </w:rPr>
              <w:t>82,3</w:t>
            </w:r>
          </w:p>
        </w:tc>
        <w:tc>
          <w:tcPr>
            <w:tcW w:w="780" w:type="dxa"/>
            <w:vAlign w:val="center"/>
          </w:tcPr>
          <w:p>
            <w:pPr>
              <w:jc w:val="center"/>
              <w:rPr>
                <w:color w:val="000000"/>
                <w:sz w:val="20"/>
                <w:szCs w:val="20"/>
              </w:rPr>
            </w:pPr>
            <w:r>
              <w:rPr>
                <w:color w:val="000000"/>
                <w:sz w:val="20"/>
                <w:szCs w:val="20"/>
              </w:rPr>
              <w:t>81,4</w:t>
            </w:r>
          </w:p>
        </w:tc>
        <w:tc>
          <w:tcPr>
            <w:tcW w:w="779" w:type="dxa"/>
            <w:vAlign w:val="center"/>
          </w:tcPr>
          <w:p>
            <w:pPr>
              <w:jc w:val="center"/>
              <w:rPr>
                <w:color w:val="000000"/>
                <w:sz w:val="20"/>
                <w:szCs w:val="20"/>
              </w:rPr>
            </w:pPr>
            <w:r>
              <w:rPr>
                <w:color w:val="000000"/>
                <w:sz w:val="20"/>
                <w:szCs w:val="20"/>
              </w:rPr>
              <w:t>80,5</w:t>
            </w:r>
          </w:p>
        </w:tc>
        <w:tc>
          <w:tcPr>
            <w:tcW w:w="780" w:type="dxa"/>
            <w:vAlign w:val="center"/>
          </w:tcPr>
          <w:p>
            <w:pPr>
              <w:jc w:val="center"/>
              <w:rPr>
                <w:color w:val="000000"/>
                <w:sz w:val="20"/>
                <w:szCs w:val="20"/>
              </w:rPr>
            </w:pPr>
            <w:r>
              <w:rPr>
                <w:color w:val="000000"/>
                <w:sz w:val="20"/>
                <w:szCs w:val="20"/>
              </w:rPr>
              <w:t>77,2</w:t>
            </w:r>
          </w:p>
        </w:tc>
        <w:tc>
          <w:tcPr>
            <w:tcW w:w="780" w:type="dxa"/>
            <w:vAlign w:val="center"/>
          </w:tcPr>
          <w:p>
            <w:pPr>
              <w:jc w:val="center"/>
              <w:rPr>
                <w:color w:val="000000"/>
                <w:sz w:val="20"/>
                <w:szCs w:val="20"/>
              </w:rPr>
            </w:pPr>
            <w:r>
              <w:rPr>
                <w:color w:val="000000"/>
                <w:sz w:val="20"/>
                <w:szCs w:val="20"/>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552" w:type="dxa"/>
            <w:vAlign w:val="center"/>
          </w:tcPr>
          <w:p>
            <w:pPr>
              <w:pStyle w:val="776"/>
              <w:spacing w:before="20" w:after="20"/>
              <w:ind w:left="63"/>
            </w:pPr>
            <w:r>
              <w:t>старше трудоспособного возраста</w:t>
            </w:r>
          </w:p>
        </w:tc>
        <w:tc>
          <w:tcPr>
            <w:tcW w:w="993" w:type="dxa"/>
            <w:vAlign w:val="center"/>
          </w:tcPr>
          <w:p>
            <w:pPr>
              <w:spacing w:before="20" w:after="20"/>
              <w:jc w:val="center"/>
            </w:pPr>
            <w:r>
              <w:rPr>
                <w:sz w:val="20"/>
                <w:szCs w:val="20"/>
              </w:rPr>
              <w:t>тыс. чел.</w:t>
            </w:r>
          </w:p>
        </w:tc>
        <w:tc>
          <w:tcPr>
            <w:tcW w:w="779" w:type="dxa"/>
            <w:vAlign w:val="center"/>
          </w:tcPr>
          <w:p>
            <w:pPr>
              <w:jc w:val="center"/>
              <w:rPr>
                <w:color w:val="000000"/>
                <w:sz w:val="20"/>
                <w:szCs w:val="20"/>
              </w:rPr>
            </w:pPr>
            <w:r>
              <w:rPr>
                <w:color w:val="000000"/>
                <w:sz w:val="20"/>
                <w:szCs w:val="20"/>
              </w:rPr>
              <w:t>38,7</w:t>
            </w:r>
          </w:p>
        </w:tc>
        <w:tc>
          <w:tcPr>
            <w:tcW w:w="780" w:type="dxa"/>
            <w:vAlign w:val="center"/>
          </w:tcPr>
          <w:p>
            <w:pPr>
              <w:jc w:val="center"/>
              <w:rPr>
                <w:color w:val="000000"/>
                <w:sz w:val="20"/>
                <w:szCs w:val="20"/>
              </w:rPr>
            </w:pPr>
            <w:r>
              <w:rPr>
                <w:color w:val="000000"/>
                <w:sz w:val="20"/>
                <w:szCs w:val="20"/>
              </w:rPr>
              <w:t>39,4</w:t>
            </w:r>
          </w:p>
        </w:tc>
        <w:tc>
          <w:tcPr>
            <w:tcW w:w="779" w:type="dxa"/>
            <w:vAlign w:val="center"/>
          </w:tcPr>
          <w:p>
            <w:pPr>
              <w:jc w:val="center"/>
              <w:rPr>
                <w:color w:val="000000"/>
                <w:sz w:val="20"/>
                <w:szCs w:val="20"/>
              </w:rPr>
            </w:pPr>
            <w:r>
              <w:rPr>
                <w:color w:val="000000"/>
                <w:sz w:val="20"/>
                <w:szCs w:val="20"/>
              </w:rPr>
              <w:t>40,0</w:t>
            </w:r>
          </w:p>
        </w:tc>
        <w:tc>
          <w:tcPr>
            <w:tcW w:w="780" w:type="dxa"/>
            <w:vAlign w:val="center"/>
          </w:tcPr>
          <w:p>
            <w:pPr>
              <w:jc w:val="center"/>
              <w:rPr>
                <w:color w:val="000000"/>
                <w:sz w:val="20"/>
                <w:szCs w:val="20"/>
              </w:rPr>
            </w:pPr>
            <w:r>
              <w:rPr>
                <w:color w:val="000000"/>
                <w:sz w:val="20"/>
                <w:szCs w:val="20"/>
              </w:rPr>
              <w:t>40,5</w:t>
            </w:r>
          </w:p>
        </w:tc>
        <w:tc>
          <w:tcPr>
            <w:tcW w:w="779" w:type="dxa"/>
            <w:vAlign w:val="center"/>
          </w:tcPr>
          <w:p>
            <w:pPr>
              <w:jc w:val="center"/>
              <w:rPr>
                <w:color w:val="000000"/>
                <w:sz w:val="20"/>
                <w:szCs w:val="20"/>
              </w:rPr>
            </w:pPr>
            <w:r>
              <w:rPr>
                <w:color w:val="000000"/>
                <w:sz w:val="20"/>
                <w:szCs w:val="20"/>
              </w:rPr>
              <w:t>41,0</w:t>
            </w:r>
          </w:p>
        </w:tc>
        <w:tc>
          <w:tcPr>
            <w:tcW w:w="780" w:type="dxa"/>
            <w:vAlign w:val="center"/>
          </w:tcPr>
          <w:p>
            <w:pPr>
              <w:jc w:val="center"/>
              <w:rPr>
                <w:color w:val="000000"/>
                <w:sz w:val="20"/>
                <w:szCs w:val="20"/>
              </w:rPr>
            </w:pPr>
            <w:r>
              <w:rPr>
                <w:color w:val="000000"/>
                <w:sz w:val="20"/>
                <w:szCs w:val="20"/>
              </w:rPr>
              <w:t>43,4</w:t>
            </w:r>
          </w:p>
        </w:tc>
        <w:tc>
          <w:tcPr>
            <w:tcW w:w="780" w:type="dxa"/>
            <w:vAlign w:val="center"/>
          </w:tcPr>
          <w:p>
            <w:pPr>
              <w:jc w:val="center"/>
              <w:rPr>
                <w:color w:val="000000"/>
                <w:sz w:val="20"/>
                <w:szCs w:val="20"/>
              </w:rPr>
            </w:pPr>
            <w:r>
              <w:rPr>
                <w:color w:val="000000"/>
                <w:sz w:val="20"/>
                <w:szCs w:val="20"/>
              </w:rPr>
              <w:t>45,3</w:t>
            </w:r>
          </w:p>
        </w:tc>
      </w:tr>
    </w:tbl>
    <w:p>
      <w:pPr>
        <w:autoSpaceDE w:val="0"/>
        <w:autoSpaceDN w:val="0"/>
        <w:adjustRightInd w:val="0"/>
        <w:spacing w:before="120" w:after="120"/>
        <w:jc w:val="both"/>
        <w:rPr>
          <w:sz w:val="20"/>
          <w:szCs w:val="20"/>
        </w:rPr>
      </w:pPr>
      <w:r>
        <w:rPr>
          <w:sz w:val="20"/>
          <w:szCs w:val="20"/>
        </w:rPr>
        <w:t xml:space="preserve">Источник: оценки ООО «ЦТЭС». </w:t>
      </w:r>
    </w:p>
    <w:p>
      <w:pPr>
        <w:spacing w:line="360" w:lineRule="auto"/>
        <w:jc w:val="both"/>
        <w:rPr>
          <w:sz w:val="28"/>
          <w:szCs w:val="28"/>
        </w:rPr>
      </w:pPr>
      <w:r>
        <w:rPr>
          <w:sz w:val="28"/>
          <w:szCs w:val="28"/>
        </w:rPr>
        <w:t xml:space="preserve">Как следует из таблицы 1-4, численность постоянного населения будет продолжать снижаться среднегодовыми темпами 0,1% и достигнет 145,3 тыс. человек на конец 2029 года. </w:t>
      </w:r>
    </w:p>
    <w:p>
      <w:pPr>
        <w:spacing w:line="360" w:lineRule="auto"/>
        <w:ind w:firstLine="567"/>
        <w:jc w:val="both"/>
        <w:rPr>
          <w:color w:val="222222"/>
          <w:sz w:val="28"/>
          <w:szCs w:val="28"/>
        </w:rPr>
      </w:pPr>
      <w:r>
        <w:rPr>
          <w:sz w:val="28"/>
          <w:szCs w:val="28"/>
        </w:rPr>
        <w:t xml:space="preserve">  </w:t>
      </w:r>
    </w:p>
    <w:p>
      <w:pPr>
        <w:pStyle w:val="154"/>
        <w:numPr>
          <w:ilvl w:val="2"/>
          <w:numId w:val="30"/>
        </w:numPr>
        <w:spacing w:after="120" w:line="235" w:lineRule="auto"/>
        <w:ind w:hanging="863"/>
        <w:jc w:val="both"/>
        <w:rPr>
          <w:sz w:val="28"/>
          <w:szCs w:val="28"/>
          <w:u w:val="single"/>
        </w:rPr>
      </w:pPr>
      <w:r>
        <w:rPr>
          <w:sz w:val="28"/>
          <w:szCs w:val="28"/>
          <w:u w:val="single"/>
        </w:rPr>
        <w:t>Прогноз развития промышленности</w:t>
      </w:r>
    </w:p>
    <w:p>
      <w:pPr>
        <w:pStyle w:val="71"/>
        <w:shd w:val="clear" w:color="auto" w:fill="FFFFFF"/>
        <w:spacing w:before="0" w:beforeAutospacing="0" w:after="0" w:afterAutospacing="0" w:line="360" w:lineRule="auto"/>
        <w:ind w:firstLine="567"/>
        <w:jc w:val="both"/>
        <w:rPr>
          <w:color w:val="000000"/>
          <w:sz w:val="28"/>
          <w:szCs w:val="28"/>
        </w:rPr>
      </w:pPr>
      <w:r>
        <w:rPr>
          <w:sz w:val="28"/>
          <w:szCs w:val="28"/>
        </w:rPr>
        <w:t xml:space="preserve">    </w:t>
      </w:r>
      <w:r>
        <w:rPr>
          <w:color w:val="000000"/>
          <w:sz w:val="28"/>
          <w:szCs w:val="28"/>
        </w:rPr>
        <w:t>Основными экономически значимыми предприятиями являются:</w:t>
      </w:r>
    </w:p>
    <w:p>
      <w:pPr>
        <w:pStyle w:val="154"/>
        <w:numPr>
          <w:ilvl w:val="0"/>
          <w:numId w:val="53"/>
        </w:numPr>
        <w:spacing w:line="360" w:lineRule="auto"/>
        <w:ind w:left="1134" w:hanging="567"/>
        <w:jc w:val="both"/>
        <w:rPr>
          <w:sz w:val="28"/>
          <w:szCs w:val="28"/>
        </w:rPr>
      </w:pPr>
      <w:r>
        <w:rPr>
          <w:sz w:val="28"/>
          <w:szCs w:val="28"/>
        </w:rPr>
        <w:t>ОАО «Внуковский завод огнеупорных изделий»;</w:t>
      </w:r>
    </w:p>
    <w:p>
      <w:pPr>
        <w:pStyle w:val="154"/>
        <w:numPr>
          <w:ilvl w:val="0"/>
          <w:numId w:val="53"/>
        </w:numPr>
        <w:spacing w:line="360" w:lineRule="auto"/>
        <w:ind w:left="1134" w:hanging="567"/>
        <w:jc w:val="both"/>
        <w:rPr>
          <w:sz w:val="28"/>
          <w:szCs w:val="28"/>
        </w:rPr>
      </w:pPr>
      <w:r>
        <w:rPr>
          <w:sz w:val="28"/>
          <w:szCs w:val="28"/>
        </w:rPr>
        <w:t>ЗАО ПО «Одинцово»;</w:t>
      </w:r>
    </w:p>
    <w:p>
      <w:pPr>
        <w:pStyle w:val="154"/>
        <w:numPr>
          <w:ilvl w:val="0"/>
          <w:numId w:val="53"/>
        </w:numPr>
        <w:spacing w:line="360" w:lineRule="auto"/>
        <w:ind w:left="1134" w:hanging="567"/>
        <w:jc w:val="both"/>
        <w:rPr>
          <w:sz w:val="28"/>
          <w:szCs w:val="28"/>
        </w:rPr>
      </w:pPr>
      <w:r>
        <w:rPr>
          <w:sz w:val="28"/>
          <w:szCs w:val="28"/>
        </w:rPr>
        <w:t>ОАО «Стройиндустрия» (сборные ж/б изделия и стеновые материалы);</w:t>
      </w:r>
    </w:p>
    <w:p>
      <w:pPr>
        <w:pStyle w:val="154"/>
        <w:numPr>
          <w:ilvl w:val="0"/>
          <w:numId w:val="53"/>
        </w:numPr>
        <w:spacing w:line="360" w:lineRule="auto"/>
        <w:ind w:left="1134" w:hanging="567"/>
        <w:jc w:val="both"/>
        <w:rPr>
          <w:sz w:val="28"/>
          <w:szCs w:val="28"/>
        </w:rPr>
      </w:pPr>
      <w:r>
        <w:rPr>
          <w:sz w:val="28"/>
          <w:szCs w:val="28"/>
        </w:rPr>
        <w:t xml:space="preserve">ОАО «Стромремонтналадка» (металлопластиковые окна); </w:t>
      </w:r>
    </w:p>
    <w:p>
      <w:pPr>
        <w:pStyle w:val="154"/>
        <w:numPr>
          <w:ilvl w:val="0"/>
          <w:numId w:val="53"/>
        </w:numPr>
        <w:spacing w:line="360" w:lineRule="auto"/>
        <w:ind w:left="1134" w:hanging="567"/>
        <w:jc w:val="both"/>
        <w:rPr>
          <w:sz w:val="28"/>
          <w:szCs w:val="28"/>
        </w:rPr>
      </w:pPr>
      <w:r>
        <w:rPr>
          <w:sz w:val="28"/>
          <w:szCs w:val="28"/>
        </w:rPr>
        <w:t>ФГУП 121 АРЗ МО РФ (машиностроение -  ремонт авиатехники);</w:t>
      </w:r>
    </w:p>
    <w:p>
      <w:pPr>
        <w:pStyle w:val="154"/>
        <w:numPr>
          <w:ilvl w:val="0"/>
          <w:numId w:val="53"/>
        </w:numPr>
        <w:spacing w:line="360" w:lineRule="auto"/>
        <w:ind w:left="1134" w:hanging="567"/>
        <w:jc w:val="both"/>
        <w:rPr>
          <w:sz w:val="28"/>
          <w:szCs w:val="28"/>
        </w:rPr>
      </w:pPr>
      <w:r>
        <w:rPr>
          <w:sz w:val="28"/>
          <w:szCs w:val="28"/>
        </w:rPr>
        <w:t>ООО «Красная линия» (выпуск парфюмерных и косметологических средств);</w:t>
      </w:r>
    </w:p>
    <w:p>
      <w:pPr>
        <w:pStyle w:val="154"/>
        <w:numPr>
          <w:ilvl w:val="0"/>
          <w:numId w:val="53"/>
        </w:numPr>
        <w:spacing w:line="360" w:lineRule="auto"/>
        <w:ind w:left="1134" w:hanging="567"/>
        <w:jc w:val="both"/>
        <w:rPr>
          <w:sz w:val="28"/>
          <w:szCs w:val="28"/>
        </w:rPr>
      </w:pPr>
      <w:r>
        <w:rPr>
          <w:sz w:val="28"/>
          <w:szCs w:val="28"/>
        </w:rPr>
        <w:t>ООО «Бифилюкс» (биотехнологическое производство продуктов пробиотического действия - производство бактерийных концентратов, сывороточных ферментированных напитков, замороженных заквасок);</w:t>
      </w:r>
    </w:p>
    <w:p>
      <w:pPr>
        <w:pStyle w:val="154"/>
        <w:numPr>
          <w:ilvl w:val="0"/>
          <w:numId w:val="53"/>
        </w:numPr>
        <w:spacing w:line="360" w:lineRule="auto"/>
        <w:ind w:left="1134" w:hanging="567"/>
        <w:jc w:val="both"/>
        <w:rPr>
          <w:sz w:val="28"/>
          <w:szCs w:val="28"/>
        </w:rPr>
      </w:pPr>
      <w:r>
        <w:rPr>
          <w:sz w:val="28"/>
          <w:szCs w:val="28"/>
        </w:rPr>
        <w:t>ООО «ИНВИТО» (производство высококачественной обуви);</w:t>
      </w:r>
    </w:p>
    <w:p>
      <w:pPr>
        <w:pStyle w:val="154"/>
        <w:numPr>
          <w:ilvl w:val="0"/>
          <w:numId w:val="53"/>
        </w:numPr>
        <w:spacing w:line="360" w:lineRule="auto"/>
        <w:ind w:left="1134" w:hanging="567"/>
        <w:jc w:val="both"/>
        <w:rPr>
          <w:sz w:val="28"/>
          <w:szCs w:val="28"/>
        </w:rPr>
      </w:pPr>
      <w:r>
        <w:rPr>
          <w:sz w:val="28"/>
          <w:szCs w:val="28"/>
        </w:rPr>
        <w:t>ООО «Мясницкий ряд» (производство пищевой продукции).</w:t>
      </w:r>
    </w:p>
    <w:p>
      <w:pPr>
        <w:spacing w:line="360" w:lineRule="auto"/>
        <w:ind w:firstLine="567"/>
        <w:jc w:val="both"/>
        <w:rPr>
          <w:color w:val="000000"/>
          <w:sz w:val="28"/>
          <w:szCs w:val="28"/>
        </w:rPr>
      </w:pPr>
      <w:r>
        <w:rPr>
          <w:color w:val="000000"/>
          <w:sz w:val="28"/>
          <w:szCs w:val="28"/>
        </w:rPr>
        <w:t>Сельскохозяйственный сектор ТУ Одинцово представлен ЗАО «Матвеевское», основное производственное направление которого – овощемолочное. В границах ТУ Одинцово ЗАО «Матвеевское» имеет 201 га земель, из них 42,03 занято под объектами сельскохозяйственного производства, 33,5 га находятся под техническими коридорами ЛЭП, оставшиеся переданы в пользование юридических лиц под производственное, общественное, жилое и дачное строительство.</w:t>
      </w:r>
    </w:p>
    <w:p>
      <w:pPr>
        <w:autoSpaceDE w:val="0"/>
        <w:autoSpaceDN w:val="0"/>
        <w:adjustRightInd w:val="0"/>
        <w:spacing w:line="360" w:lineRule="auto"/>
        <w:ind w:firstLine="567"/>
        <w:jc w:val="both"/>
        <w:rPr>
          <w:color w:val="222222"/>
          <w:sz w:val="28"/>
          <w:szCs w:val="28"/>
        </w:rPr>
      </w:pPr>
      <w:r>
        <w:rPr>
          <w:color w:val="222222"/>
          <w:sz w:val="28"/>
          <w:szCs w:val="28"/>
        </w:rPr>
        <w:t>Интегральной характеристикой промышленного развития является объем промышленной продукции по полному кругу предприятий. Согласно прогнозу социально-экономического развития, он ожидается в объеме 36,4-41,2 млрд рублей на 2018-2020 годы. В дальнейшем предполагается поступательное развитие промышленного сектора, находящее отражение в росте объемов промышленного производства. К концу срока действия настоящей Программы его значение достигнет 61,6 млрд рублей в текущих ценах (подробнее см. Приложение 1). Ежегодный индекс физического объема за этот же период будет колебаться в пределах 102-103%.</w:t>
      </w:r>
    </w:p>
    <w:p>
      <w:pPr>
        <w:spacing w:line="360" w:lineRule="auto"/>
        <w:jc w:val="both"/>
        <w:rPr>
          <w:color w:val="222222"/>
          <w:sz w:val="28"/>
          <w:szCs w:val="28"/>
        </w:rPr>
      </w:pPr>
    </w:p>
    <w:p>
      <w:pPr>
        <w:pStyle w:val="154"/>
        <w:numPr>
          <w:ilvl w:val="2"/>
          <w:numId w:val="30"/>
        </w:numPr>
        <w:spacing w:after="120" w:line="235" w:lineRule="auto"/>
        <w:jc w:val="both"/>
        <w:rPr>
          <w:sz w:val="28"/>
          <w:szCs w:val="28"/>
          <w:u w:val="single"/>
        </w:rPr>
      </w:pPr>
      <w:r>
        <w:rPr>
          <w:sz w:val="28"/>
          <w:szCs w:val="28"/>
          <w:u w:val="single"/>
        </w:rPr>
        <w:t>Прогноз развития жилой застройки</w:t>
      </w:r>
    </w:p>
    <w:p>
      <w:pPr>
        <w:spacing w:line="360" w:lineRule="auto"/>
        <w:ind w:firstLine="708"/>
        <w:jc w:val="both"/>
        <w:rPr>
          <w:sz w:val="28"/>
          <w:szCs w:val="28"/>
        </w:rPr>
      </w:pPr>
      <w:r>
        <w:rPr>
          <w:color w:val="000000"/>
          <w:sz w:val="28"/>
          <w:szCs w:val="28"/>
        </w:rPr>
        <w:t xml:space="preserve">Жилищный фонд ТУ Одинцово состоит из много- (9 и более), средне- (5-8) и малоэтажных (до 4-х) многоквартирных домов, а также индивидуально определенных зданий. Многоквартирные дома и часть индивидуальных обеспечены всеми коммунальными услугами. Как правило, многоквартирные здания отапливаются централизовано; индивидуальный фонд отапливается либо централизовано, либо от собственного источника тепловой энергии. На территории муниципального образования также имеются промышленные и общественно-деловые зоны, представленные зданиями различного профиля: бюджетные (административные, медицинские и образовательные учреждения и т.п.), торговые (магазины, супер- и гипермаркеты и т.п.), деловые (бизнес-центры и т.п.) и ряд других. </w:t>
      </w:r>
      <w:r>
        <w:rPr>
          <w:sz w:val="28"/>
          <w:szCs w:val="28"/>
        </w:rPr>
        <w:t xml:space="preserve">  </w:t>
      </w:r>
    </w:p>
    <w:p>
      <w:pPr>
        <w:spacing w:line="360" w:lineRule="auto"/>
        <w:ind w:firstLine="567"/>
        <w:jc w:val="both"/>
        <w:rPr>
          <w:color w:val="000000"/>
          <w:sz w:val="28"/>
          <w:szCs w:val="28"/>
        </w:rPr>
      </w:pPr>
      <w:r>
        <w:rPr>
          <w:color w:val="000000"/>
          <w:sz w:val="28"/>
          <w:szCs w:val="28"/>
        </w:rPr>
        <w:t xml:space="preserve">Общая площадь жилых помещений по состоянию на конец 2017 года увеличилась на 7% по сравнению с уровнем 2013 г. и составила 5830,1 тыс. кв. м; количество домовладений на ту же дату – 101,6 тыс. единиц, из них квартир – 93,3 тыс. единиц, а индивидуальных зданий – 8,3 тыс. единиц (подробнее см. таблицу 3-3). Большая часть жилого фонда приходилась на многоквартирные дома (79%). Тенденция на увеличение доли многоквартирных зданий сохранялась на протяжении анализируемого периода, что связано с устойчиво высокой долей МКД в жилищном строительстве. Объемы общей площади вводимых жилых объектов варьировали в пределах 131-303 тыс. кв. м в рассматриваемый период. </w:t>
      </w:r>
    </w:p>
    <w:p>
      <w:pPr>
        <w:spacing w:line="360" w:lineRule="auto"/>
        <w:jc w:val="both"/>
        <w:rPr>
          <w:b/>
          <w:sz w:val="28"/>
          <w:szCs w:val="28"/>
        </w:rPr>
      </w:pPr>
      <w:r>
        <w:rPr>
          <w:b/>
          <w:sz w:val="28"/>
          <w:szCs w:val="28"/>
        </w:rPr>
        <w:t>Таблица3-3. Характеристики жилого фонда</w:t>
      </w:r>
    </w:p>
    <w:tbl>
      <w:tblPr>
        <w:tblStyle w:val="100"/>
        <w:tblW w:w="9067" w:type="dxa"/>
        <w:tblInd w:w="108" w:type="dxa"/>
        <w:tblLayout w:type="fixed"/>
        <w:tblCellMar>
          <w:top w:w="0" w:type="dxa"/>
          <w:left w:w="108" w:type="dxa"/>
          <w:bottom w:w="0" w:type="dxa"/>
          <w:right w:w="108" w:type="dxa"/>
        </w:tblCellMar>
      </w:tblPr>
      <w:tblGrid>
        <w:gridCol w:w="3261"/>
        <w:gridCol w:w="1134"/>
        <w:gridCol w:w="934"/>
        <w:gridCol w:w="934"/>
        <w:gridCol w:w="935"/>
        <w:gridCol w:w="934"/>
        <w:gridCol w:w="935"/>
      </w:tblGrid>
      <w:tr>
        <w:tblPrEx>
          <w:tblLayout w:type="fixed"/>
          <w:tblCellMar>
            <w:top w:w="0" w:type="dxa"/>
            <w:left w:w="108" w:type="dxa"/>
            <w:bottom w:w="0" w:type="dxa"/>
            <w:right w:w="108" w:type="dxa"/>
          </w:tblCellMar>
        </w:tblPrEx>
        <w:trPr>
          <w:trHeight w:val="255" w:hRule="atLeast"/>
          <w:tblHeader/>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Показатели</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Ед. изм.</w:t>
            </w:r>
          </w:p>
        </w:tc>
        <w:tc>
          <w:tcPr>
            <w:tcW w:w="9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2013</w:t>
            </w:r>
          </w:p>
        </w:tc>
        <w:tc>
          <w:tcPr>
            <w:tcW w:w="9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2014</w:t>
            </w:r>
          </w:p>
        </w:tc>
        <w:tc>
          <w:tcPr>
            <w:tcW w:w="935"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2015</w:t>
            </w:r>
          </w:p>
        </w:tc>
        <w:tc>
          <w:tcPr>
            <w:tcW w:w="9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b/>
                <w:bCs/>
                <w:sz w:val="20"/>
                <w:szCs w:val="20"/>
              </w:rPr>
            </w:pPr>
            <w:r>
              <w:rPr>
                <w:b/>
                <w:bCs/>
                <w:sz w:val="20"/>
                <w:szCs w:val="20"/>
              </w:rPr>
              <w:t>2016</w:t>
            </w:r>
          </w:p>
        </w:tc>
        <w:tc>
          <w:tcPr>
            <w:tcW w:w="935" w:type="dxa"/>
            <w:tcBorders>
              <w:top w:val="single" w:color="auto" w:sz="4" w:space="0"/>
              <w:left w:val="nil"/>
              <w:bottom w:val="single" w:color="auto" w:sz="4" w:space="0"/>
              <w:right w:val="single" w:color="auto" w:sz="4" w:space="0"/>
            </w:tcBorders>
            <w:vAlign w:val="center"/>
          </w:tcPr>
          <w:p>
            <w:pPr>
              <w:spacing w:before="20" w:after="20"/>
              <w:jc w:val="center"/>
              <w:rPr>
                <w:b/>
                <w:bCs/>
                <w:sz w:val="20"/>
                <w:szCs w:val="20"/>
              </w:rPr>
            </w:pPr>
            <w:r>
              <w:rPr>
                <w:b/>
                <w:bCs/>
                <w:sz w:val="20"/>
                <w:szCs w:val="20"/>
              </w:rPr>
              <w:t>2017</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 xml:space="preserve">Площадь жилых зданий, в т.ч.: </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тыс. м</w:t>
            </w:r>
            <w:r>
              <w:rPr>
                <w:sz w:val="20"/>
                <w:szCs w:val="20"/>
                <w:vertAlign w:val="superscript"/>
              </w:rPr>
              <w:t>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5451,1</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5553,4</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5637,8</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5736,9</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5830,1</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rPr>
                <w:i/>
                <w:sz w:val="20"/>
                <w:szCs w:val="20"/>
              </w:rPr>
            </w:pPr>
            <w:r>
              <w:rPr>
                <w:i/>
                <w:sz w:val="20"/>
                <w:szCs w:val="20"/>
              </w:rPr>
              <w:t>МКД</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3759,2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4021,5</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4114,2</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4202,3</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rPr>
                <w:i/>
                <w:sz w:val="20"/>
                <w:szCs w:val="20"/>
              </w:rPr>
            </w:pPr>
            <w:r>
              <w:rPr>
                <w:i/>
                <w:sz w:val="20"/>
                <w:szCs w:val="20"/>
              </w:rPr>
              <w:t>ИОЗ</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1691,9</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5553,4</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1616,3</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1622,7</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1627,8</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 xml:space="preserve">Количество жилых зданий, в т.ч.: </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10079</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10130</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10182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10235</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10269</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rPr>
                <w:i/>
                <w:sz w:val="20"/>
                <w:szCs w:val="20"/>
              </w:rPr>
            </w:pPr>
            <w:r>
              <w:rPr>
                <w:i/>
                <w:sz w:val="20"/>
                <w:szCs w:val="20"/>
              </w:rPr>
              <w:t>МКД</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1979</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1985</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1992</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2006</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rPr>
                <w:i/>
                <w:sz w:val="20"/>
                <w:szCs w:val="20"/>
              </w:rPr>
            </w:pPr>
            <w:r>
              <w:rPr>
                <w:i/>
                <w:sz w:val="20"/>
                <w:szCs w:val="20"/>
              </w:rPr>
              <w:t>ИОЗ</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8100</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8145</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8190</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8229</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8250</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Количество домовладений, в т.ч.:</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95185</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96734</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98285</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100011</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101583</w:t>
            </w:r>
          </w:p>
        </w:tc>
      </w:tr>
      <w:tr>
        <w:tblPrEx>
          <w:tblLayout w:type="fixed"/>
          <w:tblCellMar>
            <w:top w:w="0" w:type="dxa"/>
            <w:left w:w="108" w:type="dxa"/>
            <w:bottom w:w="0" w:type="dxa"/>
            <w:right w:w="108" w:type="dxa"/>
          </w:tblCellMar>
        </w:tblPrEx>
        <w:trPr>
          <w:trHeight w:val="255" w:hRule="atLeast"/>
        </w:trPr>
        <w:tc>
          <w:tcPr>
            <w:tcW w:w="3261" w:type="dxa"/>
            <w:tcBorders>
              <w:top w:val="nil"/>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квартиры</w:t>
            </w:r>
          </w:p>
        </w:tc>
        <w:tc>
          <w:tcPr>
            <w:tcW w:w="1134" w:type="dxa"/>
            <w:tcBorders>
              <w:top w:val="nil"/>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87085</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88590</w:t>
            </w:r>
          </w:p>
        </w:tc>
        <w:tc>
          <w:tcPr>
            <w:tcW w:w="935"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90095</w:t>
            </w:r>
          </w:p>
        </w:tc>
        <w:tc>
          <w:tcPr>
            <w:tcW w:w="934"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91782</w:t>
            </w:r>
          </w:p>
        </w:tc>
        <w:tc>
          <w:tcPr>
            <w:tcW w:w="935" w:type="dxa"/>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93333</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ИОЗ</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rPr>
                <w:sz w:val="20"/>
                <w:szCs w:val="20"/>
              </w:rPr>
            </w:pPr>
            <w:r>
              <w:rPr>
                <w:sz w:val="20"/>
                <w:szCs w:val="20"/>
              </w:rPr>
              <w:t>ед.</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8100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8145</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8190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8229</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8250</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Ввод в эксплуатацию жилых зданий, в т.ч.:</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116,0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87,5</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100,3</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94,1</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129,7</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МКД</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ИОЗ</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н/д</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Аварийный и ветхий жилой фонд</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38,9</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14,6</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14,1</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13,0</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Выбытие жилых зданий</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7,1</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0,8</w:t>
            </w:r>
          </w:p>
        </w:tc>
      </w:tr>
      <w:tr>
        <w:tblPrEx>
          <w:tblLayout w:type="fixed"/>
          <w:tblCellMar>
            <w:top w:w="0" w:type="dxa"/>
            <w:left w:w="108" w:type="dxa"/>
            <w:bottom w:w="0" w:type="dxa"/>
            <w:right w:w="108" w:type="dxa"/>
          </w:tblCellMar>
        </w:tblPrEx>
        <w:trPr>
          <w:trHeight w:val="255" w:hRule="atLeast"/>
        </w:trPr>
        <w:tc>
          <w:tcPr>
            <w:tcW w:w="43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rPr>
                <w:sz w:val="20"/>
                <w:szCs w:val="20"/>
              </w:rPr>
            </w:pPr>
            <w:r>
              <w:rPr>
                <w:sz w:val="20"/>
                <w:szCs w:val="20"/>
              </w:rPr>
              <w:t>Охват коммунальными услугами, в т.ч.: </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 </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0,0</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отопление</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5282,5</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5463,1</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5562,1</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5656,1</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ГВС</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4726,8</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4888,0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4987,0</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5081,1</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ХВС</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4966,2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5136,1</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5235,1</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5329,2</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водоотведение</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4951,6</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5119,1</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5242,2</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5312,2</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ПГ и СПГ</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4725,4</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4888,0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4987,0</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5081,1</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ванны (души)</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5174,0</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5350,3</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5437,1</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5531,2</w:t>
            </w:r>
          </w:p>
        </w:tc>
      </w:tr>
      <w:tr>
        <w:tblPrEx>
          <w:tblLayout w:type="fixed"/>
          <w:tblCellMar>
            <w:top w:w="0" w:type="dxa"/>
            <w:left w:w="108" w:type="dxa"/>
            <w:bottom w:w="0" w:type="dxa"/>
            <w:right w:w="108" w:type="dxa"/>
          </w:tblCellMar>
        </w:tblPrEx>
        <w:trPr>
          <w:trHeight w:val="255" w:hRule="atLeast"/>
        </w:trPr>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firstLine="200" w:firstLineChars="100"/>
              <w:rPr>
                <w:sz w:val="20"/>
                <w:szCs w:val="20"/>
              </w:rPr>
            </w:pPr>
            <w:r>
              <w:rPr>
                <w:sz w:val="20"/>
                <w:szCs w:val="20"/>
              </w:rPr>
              <w:t>напольные электрические плиты</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before="20" w:after="20"/>
              <w:jc w:val="center"/>
            </w:pPr>
            <w:r>
              <w:rPr>
                <w:sz w:val="20"/>
                <w:szCs w:val="20"/>
              </w:rPr>
              <w:t>тыс. м</w:t>
            </w:r>
            <w:r>
              <w:rPr>
                <w:sz w:val="20"/>
                <w:szCs w:val="20"/>
                <w:vertAlign w:val="superscript"/>
              </w:rPr>
              <w:t>2</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206,6</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0,0</w:t>
            </w:r>
          </w:p>
        </w:tc>
        <w:tc>
          <w:tcPr>
            <w:tcW w:w="935"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202,9</w:t>
            </w:r>
          </w:p>
        </w:tc>
        <w:tc>
          <w:tcPr>
            <w:tcW w:w="934"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216,7</w:t>
            </w:r>
          </w:p>
        </w:tc>
        <w:tc>
          <w:tcPr>
            <w:tcW w:w="935" w:type="dxa"/>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216,7</w:t>
            </w:r>
          </w:p>
        </w:tc>
      </w:tr>
    </w:tbl>
    <w:p>
      <w:pPr>
        <w:autoSpaceDE w:val="0"/>
        <w:autoSpaceDN w:val="0"/>
        <w:adjustRightInd w:val="0"/>
        <w:spacing w:before="120" w:after="120"/>
        <w:jc w:val="both"/>
        <w:rPr>
          <w:sz w:val="20"/>
          <w:szCs w:val="20"/>
        </w:rPr>
      </w:pPr>
      <w:r>
        <w:rPr>
          <w:sz w:val="20"/>
          <w:szCs w:val="20"/>
        </w:rPr>
        <w:t xml:space="preserve">Источник: статистическая форма 1-жилфонд и расчеты ООО «ЦТЭС». </w:t>
      </w:r>
    </w:p>
    <w:p>
      <w:pPr>
        <w:spacing w:line="360" w:lineRule="auto"/>
        <w:ind w:firstLine="567"/>
        <w:jc w:val="both"/>
        <w:rPr>
          <w:color w:val="000000"/>
          <w:sz w:val="28"/>
          <w:szCs w:val="28"/>
        </w:rPr>
      </w:pPr>
      <w:r>
        <w:rPr>
          <w:color w:val="000000"/>
          <w:sz w:val="28"/>
          <w:szCs w:val="28"/>
        </w:rPr>
        <w:t>Согласно статистической форме 22-ЖКХ (сводная) на конец 2017 года жилищный фонд охвачен коммунальными услугами</w:t>
      </w:r>
      <w:r>
        <w:rPr>
          <w:rStyle w:val="90"/>
          <w:color w:val="000000"/>
          <w:sz w:val="28"/>
          <w:szCs w:val="28"/>
        </w:rPr>
        <w:footnoteReference w:id="1"/>
      </w:r>
      <w:r>
        <w:rPr>
          <w:color w:val="000000"/>
          <w:sz w:val="28"/>
          <w:szCs w:val="28"/>
        </w:rPr>
        <w:t>:</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 xml:space="preserve">холодного водоснабжения – 91,4%, в т.ч. централизованное – 91,1%; </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горячего водоснабжения – 87,2%, в т.ч. централизованное – 81,5%;</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водоотведения – 91,1%, в т.ч. централизованное – 88,7%;</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отопления – 97,0%, в т.ч. централизованное – 81,9%;</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 xml:space="preserve">сжиженным и природным газом – 94,9%; </w:t>
      </w:r>
    </w:p>
    <w:p>
      <w:pPr>
        <w:pStyle w:val="154"/>
        <w:numPr>
          <w:ilvl w:val="0"/>
          <w:numId w:val="54"/>
        </w:numPr>
        <w:tabs>
          <w:tab w:val="left" w:pos="1134"/>
        </w:tabs>
        <w:spacing w:line="360" w:lineRule="auto"/>
        <w:ind w:left="1134" w:hanging="567"/>
        <w:jc w:val="both"/>
        <w:rPr>
          <w:color w:val="000000"/>
          <w:sz w:val="28"/>
          <w:szCs w:val="28"/>
        </w:rPr>
      </w:pPr>
      <w:r>
        <w:rPr>
          <w:color w:val="000000"/>
          <w:sz w:val="28"/>
          <w:szCs w:val="28"/>
        </w:rPr>
        <w:t>ваннами (душем) – 87,2%;</w:t>
      </w:r>
    </w:p>
    <w:p>
      <w:pPr>
        <w:spacing w:line="360" w:lineRule="auto"/>
        <w:ind w:firstLine="708"/>
        <w:jc w:val="both"/>
        <w:rPr>
          <w:color w:val="000000"/>
          <w:sz w:val="28"/>
          <w:szCs w:val="28"/>
        </w:rPr>
      </w:pPr>
      <w:r>
        <w:rPr>
          <w:color w:val="000000"/>
          <w:sz w:val="28"/>
          <w:szCs w:val="28"/>
        </w:rPr>
        <w:t>напольными электрическими плитами – 3,7%.</w:t>
      </w:r>
    </w:p>
    <w:p>
      <w:pPr>
        <w:pStyle w:val="73"/>
        <w:spacing w:after="0" w:line="360" w:lineRule="auto"/>
        <w:ind w:left="0" w:firstLine="567"/>
        <w:jc w:val="both"/>
        <w:rPr>
          <w:color w:val="000000"/>
          <w:sz w:val="28"/>
          <w:szCs w:val="28"/>
        </w:rPr>
      </w:pPr>
      <w:r>
        <w:rPr>
          <w:color w:val="000000"/>
          <w:sz w:val="28"/>
          <w:szCs w:val="28"/>
        </w:rPr>
        <w:t xml:space="preserve">Прогноз площади жилого фонда формировался с учетом проектов Генерального плана ТУ Одинцово, краткосрочных прогнозов развития, сложившихся тенденций в жилищном строительстве и сносе жилых объектов. Предполагается, что на период действия настоящей Программы динамика жилой площади регулируется только показателями ввода/вывода площади жилых зданий. Другими словами, не зависит от других причин (перевод нежилых помещений в жилые и т.п.). </w:t>
      </w:r>
    </w:p>
    <w:p>
      <w:pPr>
        <w:pStyle w:val="73"/>
        <w:spacing w:after="0" w:line="360" w:lineRule="auto"/>
        <w:ind w:left="0" w:firstLine="567"/>
        <w:jc w:val="both"/>
        <w:rPr>
          <w:color w:val="000000"/>
          <w:sz w:val="28"/>
          <w:szCs w:val="28"/>
        </w:rPr>
      </w:pPr>
      <w:r>
        <w:rPr>
          <w:sz w:val="28"/>
          <w:szCs w:val="28"/>
        </w:rPr>
        <w:t>В течение периода реализации настоящей Программы предполагается снести весь ветхий и аварийный жилой фонд, имеющийся в муниципальном образовании</w:t>
      </w:r>
      <w:r>
        <w:rPr>
          <w:color w:val="000000"/>
          <w:sz w:val="28"/>
          <w:szCs w:val="28"/>
        </w:rPr>
        <w:t xml:space="preserve">. </w:t>
      </w:r>
    </w:p>
    <w:p>
      <w:pPr>
        <w:pStyle w:val="73"/>
        <w:spacing w:after="0" w:line="360" w:lineRule="auto"/>
        <w:ind w:left="0" w:firstLine="567"/>
        <w:jc w:val="both"/>
        <w:rPr>
          <w:color w:val="000000"/>
          <w:sz w:val="28"/>
          <w:szCs w:val="28"/>
        </w:rPr>
      </w:pPr>
      <w:r>
        <w:rPr>
          <w:color w:val="000000"/>
          <w:sz w:val="28"/>
          <w:szCs w:val="28"/>
        </w:rPr>
        <w:t xml:space="preserve">На 2018-2020 гг. в качестве показателей ввода жилых объектов использовались значения площадей Прогноза социально-экономического развития муниципального образования. Эти оценки можно считать достаточно достоверными, принимая во внимание строительный цикл жилых зданий (около трех лет). Другими словами, они учитывают уже строящиеся жилые объекты или находящиеся в высокой степени готовности к началу их возведения.   </w:t>
      </w:r>
    </w:p>
    <w:p>
      <w:pPr>
        <w:tabs>
          <w:tab w:val="left" w:pos="1843"/>
        </w:tabs>
        <w:spacing w:line="360" w:lineRule="auto"/>
        <w:ind w:firstLine="567"/>
        <w:jc w:val="both"/>
        <w:rPr>
          <w:color w:val="000000"/>
          <w:sz w:val="28"/>
        </w:rPr>
      </w:pPr>
      <w:r>
        <w:rPr>
          <w:color w:val="000000"/>
          <w:sz w:val="28"/>
        </w:rPr>
        <w:t>По запросу структурами Администрации  не был предоставлен баланс доходов и расходов населения, в связи с чем было затруднительно оценить достоверность оценки перспективы жилищного строительства, предусмотренных Генеральным планом. По этой причине баланс доходов и расходов населения был сформирован на базе областного аналога с коррекцией на разницу в численности населения, исходя из которого, а также принимая во внимание существующие тенденции в строительстве, обеспеченность жильем и ряд других факторов, был сформирован прогноз динамики общей площади жилых зданий. Результаты моделирования представлены в таблице 3-4 и Приложении 1.</w:t>
      </w:r>
    </w:p>
    <w:p>
      <w:pPr>
        <w:spacing w:line="360" w:lineRule="auto"/>
        <w:jc w:val="both"/>
        <w:rPr>
          <w:b/>
          <w:sz w:val="28"/>
          <w:szCs w:val="28"/>
        </w:rPr>
      </w:pPr>
      <w:r>
        <w:rPr>
          <w:b/>
          <w:sz w:val="28"/>
          <w:szCs w:val="28"/>
        </w:rPr>
        <w:t>Таблица 3-4. Характеристики жилищного фонда</w:t>
      </w:r>
    </w:p>
    <w:tbl>
      <w:tblPr>
        <w:tblStyle w:val="100"/>
        <w:tblW w:w="91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992"/>
        <w:gridCol w:w="877"/>
        <w:gridCol w:w="877"/>
        <w:gridCol w:w="878"/>
        <w:gridCol w:w="877"/>
        <w:gridCol w:w="878"/>
        <w:gridCol w:w="877"/>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trPr>
        <w:tc>
          <w:tcPr>
            <w:tcW w:w="1985" w:type="dxa"/>
            <w:vAlign w:val="center"/>
          </w:tcPr>
          <w:p>
            <w:pPr>
              <w:pStyle w:val="775"/>
              <w:spacing w:before="20" w:after="20"/>
              <w:rPr>
                <w:lang w:val="ru-RU"/>
              </w:rPr>
            </w:pPr>
            <w:r>
              <w:rPr>
                <w:lang w:val="ru-RU"/>
              </w:rPr>
              <w:t>Показатели</w:t>
            </w:r>
          </w:p>
        </w:tc>
        <w:tc>
          <w:tcPr>
            <w:tcW w:w="992" w:type="dxa"/>
            <w:vAlign w:val="center"/>
          </w:tcPr>
          <w:p>
            <w:pPr>
              <w:pStyle w:val="775"/>
              <w:spacing w:before="20" w:after="20"/>
              <w:rPr>
                <w:lang w:val="ru-RU"/>
              </w:rPr>
            </w:pPr>
            <w:r>
              <w:rPr>
                <w:lang w:val="ru-RU"/>
              </w:rPr>
              <w:t>Ед. изм.</w:t>
            </w:r>
          </w:p>
        </w:tc>
        <w:tc>
          <w:tcPr>
            <w:tcW w:w="877" w:type="dxa"/>
            <w:vAlign w:val="center"/>
          </w:tcPr>
          <w:p>
            <w:pPr>
              <w:pStyle w:val="775"/>
              <w:spacing w:before="20" w:after="20"/>
              <w:rPr>
                <w:lang w:val="ru-RU"/>
              </w:rPr>
            </w:pPr>
            <w:r>
              <w:rPr>
                <w:lang w:val="ru-RU"/>
              </w:rPr>
              <w:t>2018</w:t>
            </w:r>
          </w:p>
        </w:tc>
        <w:tc>
          <w:tcPr>
            <w:tcW w:w="877" w:type="dxa"/>
            <w:vAlign w:val="center"/>
          </w:tcPr>
          <w:p>
            <w:pPr>
              <w:pStyle w:val="775"/>
              <w:spacing w:before="20" w:after="20"/>
              <w:rPr>
                <w:lang w:val="ru-RU"/>
              </w:rPr>
            </w:pPr>
            <w:r>
              <w:rPr>
                <w:lang w:val="ru-RU"/>
              </w:rPr>
              <w:t>2019</w:t>
            </w:r>
          </w:p>
        </w:tc>
        <w:tc>
          <w:tcPr>
            <w:tcW w:w="878" w:type="dxa"/>
            <w:vAlign w:val="center"/>
          </w:tcPr>
          <w:p>
            <w:pPr>
              <w:pStyle w:val="775"/>
              <w:spacing w:before="20" w:after="20"/>
              <w:rPr>
                <w:lang w:val="ru-RU"/>
              </w:rPr>
            </w:pPr>
            <w:r>
              <w:rPr>
                <w:lang w:val="ru-RU"/>
              </w:rPr>
              <w:t>2020</w:t>
            </w:r>
          </w:p>
        </w:tc>
        <w:tc>
          <w:tcPr>
            <w:tcW w:w="877" w:type="dxa"/>
            <w:vAlign w:val="center"/>
          </w:tcPr>
          <w:p>
            <w:pPr>
              <w:pStyle w:val="775"/>
              <w:spacing w:before="20" w:after="20"/>
              <w:rPr>
                <w:lang w:val="ru-RU"/>
              </w:rPr>
            </w:pPr>
            <w:r>
              <w:rPr>
                <w:lang w:val="ru-RU"/>
              </w:rPr>
              <w:t>2021</w:t>
            </w:r>
          </w:p>
        </w:tc>
        <w:tc>
          <w:tcPr>
            <w:tcW w:w="878" w:type="dxa"/>
            <w:vAlign w:val="center"/>
          </w:tcPr>
          <w:p>
            <w:pPr>
              <w:pStyle w:val="775"/>
              <w:spacing w:before="20" w:after="20"/>
              <w:rPr>
                <w:lang w:val="ru-RU"/>
              </w:rPr>
            </w:pPr>
            <w:r>
              <w:rPr>
                <w:lang w:val="ru-RU"/>
              </w:rPr>
              <w:t>2022</w:t>
            </w:r>
          </w:p>
        </w:tc>
        <w:tc>
          <w:tcPr>
            <w:tcW w:w="877" w:type="dxa"/>
            <w:vAlign w:val="center"/>
          </w:tcPr>
          <w:p>
            <w:pPr>
              <w:pStyle w:val="775"/>
              <w:spacing w:before="20" w:after="20"/>
              <w:rPr>
                <w:lang w:val="ru-RU"/>
              </w:rPr>
            </w:pPr>
            <w:r>
              <w:rPr>
                <w:lang w:val="ru-RU"/>
              </w:rPr>
              <w:t>2027</w:t>
            </w:r>
          </w:p>
        </w:tc>
        <w:tc>
          <w:tcPr>
            <w:tcW w:w="878" w:type="dxa"/>
            <w:vAlign w:val="center"/>
          </w:tcPr>
          <w:p>
            <w:pPr>
              <w:pStyle w:val="775"/>
              <w:spacing w:before="20" w:after="20"/>
              <w:rPr>
                <w:lang w:val="ru-RU"/>
              </w:rPr>
            </w:pPr>
            <w:r>
              <w:rPr>
                <w:lang w:val="ru-RU"/>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rPr>
                <w:sz w:val="20"/>
                <w:szCs w:val="20"/>
              </w:rPr>
            </w:pPr>
            <w:r>
              <w:rPr>
                <w:sz w:val="20"/>
                <w:szCs w:val="20"/>
              </w:rPr>
              <w:t>Средняя обеспеченность жильем</w:t>
            </w:r>
          </w:p>
        </w:tc>
        <w:tc>
          <w:tcPr>
            <w:tcW w:w="992" w:type="dxa"/>
            <w:vAlign w:val="center"/>
          </w:tcPr>
          <w:p>
            <w:pPr>
              <w:spacing w:before="20" w:after="20"/>
              <w:jc w:val="center"/>
              <w:rPr>
                <w:sz w:val="20"/>
                <w:szCs w:val="20"/>
              </w:rPr>
            </w:pPr>
            <w:r>
              <w:rPr>
                <w:sz w:val="20"/>
                <w:szCs w:val="20"/>
              </w:rPr>
              <w:t>м</w:t>
            </w:r>
            <w:r>
              <w:rPr>
                <w:sz w:val="20"/>
                <w:szCs w:val="20"/>
                <w:vertAlign w:val="superscript"/>
              </w:rPr>
              <w:t>2</w:t>
            </w:r>
            <w:r>
              <w:rPr>
                <w:sz w:val="20"/>
                <w:szCs w:val="20"/>
              </w:rPr>
              <w:t xml:space="preserve">/чел. </w:t>
            </w:r>
          </w:p>
        </w:tc>
        <w:tc>
          <w:tcPr>
            <w:tcW w:w="877" w:type="dxa"/>
            <w:vAlign w:val="center"/>
          </w:tcPr>
          <w:p>
            <w:pPr>
              <w:jc w:val="center"/>
              <w:rPr>
                <w:sz w:val="20"/>
                <w:szCs w:val="20"/>
              </w:rPr>
            </w:pPr>
            <w:r>
              <w:rPr>
                <w:sz w:val="20"/>
                <w:szCs w:val="20"/>
              </w:rPr>
              <w:t>27,1</w:t>
            </w:r>
          </w:p>
        </w:tc>
        <w:tc>
          <w:tcPr>
            <w:tcW w:w="877" w:type="dxa"/>
            <w:vAlign w:val="center"/>
          </w:tcPr>
          <w:p>
            <w:pPr>
              <w:jc w:val="center"/>
              <w:rPr>
                <w:sz w:val="20"/>
                <w:szCs w:val="20"/>
              </w:rPr>
            </w:pPr>
            <w:r>
              <w:rPr>
                <w:sz w:val="20"/>
                <w:szCs w:val="20"/>
              </w:rPr>
              <w:t>27,7</w:t>
            </w:r>
          </w:p>
        </w:tc>
        <w:tc>
          <w:tcPr>
            <w:tcW w:w="878" w:type="dxa"/>
            <w:vAlign w:val="center"/>
          </w:tcPr>
          <w:p>
            <w:pPr>
              <w:jc w:val="center"/>
              <w:rPr>
                <w:sz w:val="20"/>
                <w:szCs w:val="20"/>
              </w:rPr>
            </w:pPr>
            <w:r>
              <w:rPr>
                <w:sz w:val="20"/>
                <w:szCs w:val="20"/>
              </w:rPr>
              <w:t>28,3</w:t>
            </w:r>
          </w:p>
        </w:tc>
        <w:tc>
          <w:tcPr>
            <w:tcW w:w="877" w:type="dxa"/>
            <w:vAlign w:val="center"/>
          </w:tcPr>
          <w:p>
            <w:pPr>
              <w:jc w:val="center"/>
              <w:rPr>
                <w:sz w:val="20"/>
                <w:szCs w:val="20"/>
              </w:rPr>
            </w:pPr>
            <w:r>
              <w:rPr>
                <w:sz w:val="20"/>
                <w:szCs w:val="20"/>
              </w:rPr>
              <w:t>28,9</w:t>
            </w:r>
          </w:p>
        </w:tc>
        <w:tc>
          <w:tcPr>
            <w:tcW w:w="878" w:type="dxa"/>
            <w:vAlign w:val="center"/>
          </w:tcPr>
          <w:p>
            <w:pPr>
              <w:jc w:val="center"/>
              <w:rPr>
                <w:sz w:val="20"/>
                <w:szCs w:val="20"/>
              </w:rPr>
            </w:pPr>
            <w:r>
              <w:rPr>
                <w:sz w:val="20"/>
                <w:szCs w:val="20"/>
              </w:rPr>
              <w:t>29,7</w:t>
            </w:r>
          </w:p>
        </w:tc>
        <w:tc>
          <w:tcPr>
            <w:tcW w:w="877" w:type="dxa"/>
            <w:vAlign w:val="center"/>
          </w:tcPr>
          <w:p>
            <w:pPr>
              <w:jc w:val="center"/>
              <w:rPr>
                <w:sz w:val="20"/>
                <w:szCs w:val="20"/>
              </w:rPr>
            </w:pPr>
            <w:r>
              <w:rPr>
                <w:sz w:val="20"/>
                <w:szCs w:val="20"/>
              </w:rPr>
              <w:t>33,9</w:t>
            </w:r>
          </w:p>
        </w:tc>
        <w:tc>
          <w:tcPr>
            <w:tcW w:w="878" w:type="dxa"/>
            <w:vAlign w:val="center"/>
          </w:tcPr>
          <w:p>
            <w:pPr>
              <w:jc w:val="center"/>
              <w:rPr>
                <w:sz w:val="20"/>
                <w:szCs w:val="20"/>
              </w:rPr>
            </w:pPr>
            <w:r>
              <w:rPr>
                <w:sz w:val="20"/>
                <w:szCs w:val="20"/>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rPr>
                <w:sz w:val="20"/>
                <w:szCs w:val="20"/>
              </w:rPr>
            </w:pPr>
            <w:r>
              <w:rPr>
                <w:sz w:val="20"/>
                <w:szCs w:val="20"/>
              </w:rPr>
              <w:t xml:space="preserve">Общая площадь </w:t>
            </w:r>
          </w:p>
          <w:p>
            <w:pPr>
              <w:spacing w:before="20" w:after="20"/>
              <w:rPr>
                <w:sz w:val="20"/>
                <w:szCs w:val="20"/>
              </w:rPr>
            </w:pPr>
            <w:r>
              <w:rPr>
                <w:sz w:val="20"/>
                <w:szCs w:val="20"/>
              </w:rPr>
              <w:t>жилых зданий</w:t>
            </w:r>
          </w:p>
        </w:tc>
        <w:tc>
          <w:tcPr>
            <w:tcW w:w="992" w:type="dxa"/>
            <w:vAlign w:val="center"/>
          </w:tcPr>
          <w:p>
            <w:pPr>
              <w:spacing w:before="20" w:after="20"/>
              <w:jc w:val="center"/>
              <w:rPr>
                <w:sz w:val="20"/>
                <w:szCs w:val="20"/>
              </w:rPr>
            </w:pPr>
            <w:r>
              <w:rPr>
                <w:sz w:val="20"/>
                <w:szCs w:val="20"/>
              </w:rPr>
              <w:t>тыс. м</w:t>
            </w:r>
            <w:r>
              <w:rPr>
                <w:sz w:val="20"/>
                <w:szCs w:val="20"/>
                <w:vertAlign w:val="superscript"/>
              </w:rPr>
              <w:t>2</w:t>
            </w:r>
          </w:p>
        </w:tc>
        <w:tc>
          <w:tcPr>
            <w:tcW w:w="877" w:type="dxa"/>
            <w:vAlign w:val="center"/>
          </w:tcPr>
          <w:p>
            <w:pPr>
              <w:jc w:val="center"/>
              <w:rPr>
                <w:color w:val="000000"/>
                <w:sz w:val="20"/>
                <w:szCs w:val="20"/>
              </w:rPr>
            </w:pPr>
            <w:r>
              <w:rPr>
                <w:color w:val="000000"/>
                <w:sz w:val="20"/>
                <w:szCs w:val="20"/>
              </w:rPr>
              <w:t>5959,9</w:t>
            </w:r>
          </w:p>
        </w:tc>
        <w:tc>
          <w:tcPr>
            <w:tcW w:w="877" w:type="dxa"/>
            <w:vAlign w:val="center"/>
          </w:tcPr>
          <w:p>
            <w:pPr>
              <w:jc w:val="center"/>
              <w:rPr>
                <w:color w:val="000000"/>
                <w:sz w:val="20"/>
                <w:szCs w:val="20"/>
              </w:rPr>
            </w:pPr>
            <w:r>
              <w:rPr>
                <w:color w:val="000000"/>
                <w:sz w:val="20"/>
                <w:szCs w:val="20"/>
              </w:rPr>
              <w:t>6091,9</w:t>
            </w:r>
          </w:p>
        </w:tc>
        <w:tc>
          <w:tcPr>
            <w:tcW w:w="878" w:type="dxa"/>
            <w:vAlign w:val="center"/>
          </w:tcPr>
          <w:p>
            <w:pPr>
              <w:jc w:val="center"/>
              <w:rPr>
                <w:color w:val="000000"/>
                <w:sz w:val="20"/>
                <w:szCs w:val="20"/>
              </w:rPr>
            </w:pPr>
            <w:r>
              <w:rPr>
                <w:color w:val="000000"/>
                <w:sz w:val="20"/>
                <w:szCs w:val="20"/>
              </w:rPr>
              <w:t>6218,2</w:t>
            </w:r>
          </w:p>
        </w:tc>
        <w:tc>
          <w:tcPr>
            <w:tcW w:w="877" w:type="dxa"/>
            <w:vAlign w:val="center"/>
          </w:tcPr>
          <w:p>
            <w:pPr>
              <w:jc w:val="center"/>
              <w:rPr>
                <w:color w:val="000000"/>
                <w:sz w:val="20"/>
                <w:szCs w:val="20"/>
              </w:rPr>
            </w:pPr>
            <w:r>
              <w:rPr>
                <w:color w:val="000000"/>
                <w:sz w:val="20"/>
                <w:szCs w:val="20"/>
              </w:rPr>
              <w:t>6348,0</w:t>
            </w:r>
          </w:p>
        </w:tc>
        <w:tc>
          <w:tcPr>
            <w:tcW w:w="878" w:type="dxa"/>
            <w:vAlign w:val="center"/>
          </w:tcPr>
          <w:p>
            <w:pPr>
              <w:jc w:val="center"/>
              <w:rPr>
                <w:color w:val="000000"/>
                <w:sz w:val="20"/>
                <w:szCs w:val="20"/>
              </w:rPr>
            </w:pPr>
            <w:r>
              <w:rPr>
                <w:color w:val="000000"/>
                <w:sz w:val="20"/>
                <w:szCs w:val="20"/>
              </w:rPr>
              <w:t>6511,3</w:t>
            </w:r>
          </w:p>
        </w:tc>
        <w:tc>
          <w:tcPr>
            <w:tcW w:w="877" w:type="dxa"/>
            <w:vAlign w:val="center"/>
          </w:tcPr>
          <w:p>
            <w:pPr>
              <w:jc w:val="center"/>
              <w:rPr>
                <w:color w:val="000000"/>
                <w:sz w:val="20"/>
                <w:szCs w:val="20"/>
              </w:rPr>
            </w:pPr>
            <w:r>
              <w:rPr>
                <w:color w:val="000000"/>
                <w:sz w:val="20"/>
                <w:szCs w:val="20"/>
              </w:rPr>
              <w:t>7386,0</w:t>
            </w:r>
          </w:p>
        </w:tc>
        <w:tc>
          <w:tcPr>
            <w:tcW w:w="878" w:type="dxa"/>
            <w:vAlign w:val="center"/>
          </w:tcPr>
          <w:p>
            <w:pPr>
              <w:jc w:val="center"/>
              <w:rPr>
                <w:color w:val="000000"/>
                <w:sz w:val="20"/>
                <w:szCs w:val="20"/>
              </w:rPr>
            </w:pPr>
            <w:r>
              <w:rPr>
                <w:color w:val="000000"/>
                <w:sz w:val="20"/>
                <w:szCs w:val="20"/>
              </w:rPr>
              <w:t>7994,7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rPr>
                <w:sz w:val="20"/>
                <w:szCs w:val="20"/>
              </w:rPr>
            </w:pPr>
            <w:r>
              <w:rPr>
                <w:sz w:val="20"/>
                <w:szCs w:val="20"/>
              </w:rPr>
              <w:t>Прибыло жилой площади всего, в т.ч.:</w:t>
            </w:r>
          </w:p>
        </w:tc>
        <w:tc>
          <w:tcPr>
            <w:tcW w:w="992" w:type="dxa"/>
            <w:vAlign w:val="center"/>
          </w:tcPr>
          <w:p>
            <w:pPr>
              <w:spacing w:before="20" w:after="20"/>
              <w:jc w:val="center"/>
              <w:rPr>
                <w:sz w:val="20"/>
                <w:szCs w:val="20"/>
              </w:rPr>
            </w:pPr>
            <w:r>
              <w:rPr>
                <w:sz w:val="20"/>
                <w:szCs w:val="20"/>
              </w:rPr>
              <w:t>тыс. м</w:t>
            </w:r>
            <w:r>
              <w:rPr>
                <w:sz w:val="20"/>
                <w:szCs w:val="20"/>
                <w:vertAlign w:val="superscript"/>
              </w:rPr>
              <w:t>2</w:t>
            </w:r>
          </w:p>
        </w:tc>
        <w:tc>
          <w:tcPr>
            <w:tcW w:w="877" w:type="dxa"/>
            <w:vAlign w:val="center"/>
          </w:tcPr>
          <w:p>
            <w:pPr>
              <w:jc w:val="center"/>
              <w:rPr>
                <w:color w:val="000000"/>
                <w:sz w:val="20"/>
                <w:szCs w:val="20"/>
              </w:rPr>
            </w:pPr>
            <w:r>
              <w:rPr>
                <w:color w:val="000000"/>
                <w:sz w:val="20"/>
                <w:szCs w:val="20"/>
              </w:rPr>
              <w:t>129,7</w:t>
            </w:r>
          </w:p>
        </w:tc>
        <w:tc>
          <w:tcPr>
            <w:tcW w:w="877" w:type="dxa"/>
            <w:vAlign w:val="center"/>
          </w:tcPr>
          <w:p>
            <w:pPr>
              <w:jc w:val="center"/>
              <w:rPr>
                <w:color w:val="000000"/>
                <w:sz w:val="20"/>
                <w:szCs w:val="20"/>
              </w:rPr>
            </w:pPr>
            <w:r>
              <w:rPr>
                <w:color w:val="000000"/>
                <w:sz w:val="20"/>
                <w:szCs w:val="20"/>
              </w:rPr>
              <w:t>197,7</w:t>
            </w:r>
          </w:p>
        </w:tc>
        <w:tc>
          <w:tcPr>
            <w:tcW w:w="878" w:type="dxa"/>
            <w:vAlign w:val="center"/>
          </w:tcPr>
          <w:p>
            <w:pPr>
              <w:jc w:val="center"/>
              <w:rPr>
                <w:color w:val="000000"/>
                <w:sz w:val="20"/>
                <w:szCs w:val="20"/>
              </w:rPr>
            </w:pPr>
            <w:r>
              <w:rPr>
                <w:color w:val="000000"/>
                <w:sz w:val="20"/>
                <w:szCs w:val="20"/>
              </w:rPr>
              <w:t>189,3</w:t>
            </w:r>
          </w:p>
        </w:tc>
        <w:tc>
          <w:tcPr>
            <w:tcW w:w="877" w:type="dxa"/>
            <w:vAlign w:val="center"/>
          </w:tcPr>
          <w:p>
            <w:pPr>
              <w:jc w:val="center"/>
              <w:rPr>
                <w:color w:val="000000"/>
                <w:sz w:val="20"/>
                <w:szCs w:val="20"/>
              </w:rPr>
            </w:pPr>
            <w:r>
              <w:rPr>
                <w:color w:val="000000"/>
                <w:sz w:val="20"/>
                <w:szCs w:val="20"/>
              </w:rPr>
              <w:t>194,3</w:t>
            </w:r>
          </w:p>
        </w:tc>
        <w:tc>
          <w:tcPr>
            <w:tcW w:w="878" w:type="dxa"/>
            <w:vAlign w:val="center"/>
          </w:tcPr>
          <w:p>
            <w:pPr>
              <w:jc w:val="center"/>
              <w:rPr>
                <w:color w:val="000000"/>
                <w:sz w:val="20"/>
                <w:szCs w:val="20"/>
              </w:rPr>
            </w:pPr>
            <w:r>
              <w:rPr>
                <w:color w:val="000000"/>
                <w:sz w:val="20"/>
                <w:szCs w:val="20"/>
              </w:rPr>
              <w:t>244,7</w:t>
            </w:r>
          </w:p>
        </w:tc>
        <w:tc>
          <w:tcPr>
            <w:tcW w:w="877" w:type="dxa"/>
            <w:vAlign w:val="center"/>
          </w:tcPr>
          <w:p>
            <w:pPr>
              <w:jc w:val="center"/>
              <w:rPr>
                <w:color w:val="000000"/>
                <w:sz w:val="20"/>
                <w:szCs w:val="20"/>
              </w:rPr>
            </w:pPr>
            <w:r>
              <w:rPr>
                <w:color w:val="000000"/>
                <w:sz w:val="20"/>
                <w:szCs w:val="20"/>
              </w:rPr>
              <w:t>285,5</w:t>
            </w:r>
          </w:p>
        </w:tc>
        <w:tc>
          <w:tcPr>
            <w:tcW w:w="878" w:type="dxa"/>
            <w:vAlign w:val="center"/>
          </w:tcPr>
          <w:p>
            <w:pPr>
              <w:jc w:val="center"/>
              <w:rPr>
                <w:color w:val="000000"/>
                <w:sz w:val="20"/>
                <w:szCs w:val="20"/>
              </w:rPr>
            </w:pPr>
            <w:r>
              <w:rPr>
                <w:color w:val="000000"/>
                <w:sz w:val="20"/>
                <w:szCs w:val="20"/>
              </w:rPr>
              <w:t>314,0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rPr>
                <w:sz w:val="20"/>
                <w:szCs w:val="20"/>
              </w:rPr>
            </w:pPr>
            <w:r>
              <w:rPr>
                <w:sz w:val="20"/>
                <w:szCs w:val="20"/>
              </w:rPr>
              <w:t xml:space="preserve">Всего </w:t>
            </w:r>
          </w:p>
          <w:p>
            <w:pPr>
              <w:spacing w:before="20" w:after="20"/>
              <w:rPr>
                <w:sz w:val="20"/>
                <w:szCs w:val="20"/>
              </w:rPr>
            </w:pPr>
            <w:r>
              <w:rPr>
                <w:sz w:val="20"/>
                <w:szCs w:val="20"/>
              </w:rPr>
              <w:t>домохозяйств, в т.ч.:</w:t>
            </w:r>
          </w:p>
        </w:tc>
        <w:tc>
          <w:tcPr>
            <w:tcW w:w="992" w:type="dxa"/>
            <w:vAlign w:val="center"/>
          </w:tcPr>
          <w:p>
            <w:pPr>
              <w:spacing w:before="20" w:after="20"/>
              <w:jc w:val="center"/>
              <w:rPr>
                <w:sz w:val="20"/>
                <w:szCs w:val="20"/>
              </w:rPr>
            </w:pPr>
            <w:r>
              <w:rPr>
                <w:sz w:val="20"/>
                <w:szCs w:val="20"/>
              </w:rPr>
              <w:t>ед.</w:t>
            </w:r>
          </w:p>
        </w:tc>
        <w:tc>
          <w:tcPr>
            <w:tcW w:w="877" w:type="dxa"/>
            <w:vAlign w:val="center"/>
          </w:tcPr>
          <w:p>
            <w:pPr>
              <w:jc w:val="center"/>
              <w:rPr>
                <w:color w:val="000000"/>
                <w:sz w:val="20"/>
                <w:szCs w:val="20"/>
              </w:rPr>
            </w:pPr>
            <w:r>
              <w:rPr>
                <w:color w:val="000000"/>
                <w:sz w:val="20"/>
                <w:szCs w:val="20"/>
              </w:rPr>
              <w:t>103688</w:t>
            </w:r>
          </w:p>
        </w:tc>
        <w:tc>
          <w:tcPr>
            <w:tcW w:w="877" w:type="dxa"/>
            <w:vAlign w:val="center"/>
          </w:tcPr>
          <w:p>
            <w:pPr>
              <w:jc w:val="center"/>
              <w:rPr>
                <w:color w:val="000000"/>
                <w:sz w:val="20"/>
                <w:szCs w:val="20"/>
              </w:rPr>
            </w:pPr>
            <w:r>
              <w:rPr>
                <w:color w:val="000000"/>
                <w:sz w:val="20"/>
                <w:szCs w:val="20"/>
              </w:rPr>
              <w:t>105795</w:t>
            </w:r>
          </w:p>
        </w:tc>
        <w:tc>
          <w:tcPr>
            <w:tcW w:w="878" w:type="dxa"/>
            <w:vAlign w:val="center"/>
          </w:tcPr>
          <w:p>
            <w:pPr>
              <w:jc w:val="center"/>
              <w:rPr>
                <w:color w:val="000000"/>
                <w:sz w:val="20"/>
                <w:szCs w:val="20"/>
              </w:rPr>
            </w:pPr>
            <w:r>
              <w:rPr>
                <w:color w:val="000000"/>
                <w:sz w:val="20"/>
                <w:szCs w:val="20"/>
              </w:rPr>
              <w:t>107809</w:t>
            </w:r>
          </w:p>
        </w:tc>
        <w:tc>
          <w:tcPr>
            <w:tcW w:w="877" w:type="dxa"/>
            <w:vAlign w:val="center"/>
          </w:tcPr>
          <w:p>
            <w:pPr>
              <w:jc w:val="center"/>
              <w:rPr>
                <w:color w:val="000000"/>
                <w:sz w:val="20"/>
                <w:szCs w:val="20"/>
              </w:rPr>
            </w:pPr>
            <w:r>
              <w:rPr>
                <w:color w:val="000000"/>
                <w:sz w:val="20"/>
                <w:szCs w:val="20"/>
              </w:rPr>
              <w:t>109817</w:t>
            </w:r>
          </w:p>
        </w:tc>
        <w:tc>
          <w:tcPr>
            <w:tcW w:w="878" w:type="dxa"/>
            <w:vAlign w:val="center"/>
          </w:tcPr>
          <w:p>
            <w:pPr>
              <w:jc w:val="center"/>
              <w:rPr>
                <w:color w:val="000000"/>
                <w:sz w:val="20"/>
                <w:szCs w:val="20"/>
              </w:rPr>
            </w:pPr>
            <w:r>
              <w:rPr>
                <w:color w:val="000000"/>
                <w:sz w:val="20"/>
                <w:szCs w:val="20"/>
              </w:rPr>
              <w:t>112306</w:t>
            </w:r>
          </w:p>
        </w:tc>
        <w:tc>
          <w:tcPr>
            <w:tcW w:w="877" w:type="dxa"/>
            <w:vAlign w:val="center"/>
          </w:tcPr>
          <w:p>
            <w:pPr>
              <w:jc w:val="center"/>
              <w:rPr>
                <w:color w:val="000000"/>
                <w:sz w:val="20"/>
                <w:szCs w:val="20"/>
              </w:rPr>
            </w:pPr>
            <w:r>
              <w:rPr>
                <w:color w:val="000000"/>
                <w:sz w:val="20"/>
                <w:szCs w:val="20"/>
              </w:rPr>
              <w:t>125206</w:t>
            </w:r>
          </w:p>
        </w:tc>
        <w:tc>
          <w:tcPr>
            <w:tcW w:w="878" w:type="dxa"/>
            <w:vAlign w:val="center"/>
          </w:tcPr>
          <w:p>
            <w:pPr>
              <w:jc w:val="center"/>
              <w:rPr>
                <w:color w:val="000000"/>
                <w:sz w:val="20"/>
                <w:szCs w:val="20"/>
              </w:rPr>
            </w:pPr>
            <w:r>
              <w:rPr>
                <w:color w:val="000000"/>
                <w:sz w:val="20"/>
                <w:szCs w:val="20"/>
              </w:rPr>
              <w:t>133586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ind w:firstLine="200" w:firstLineChars="100"/>
              <w:rPr>
                <w:sz w:val="20"/>
                <w:szCs w:val="20"/>
              </w:rPr>
            </w:pPr>
            <w:r>
              <w:rPr>
                <w:sz w:val="20"/>
                <w:szCs w:val="20"/>
              </w:rPr>
              <w:t>квартиры</w:t>
            </w:r>
          </w:p>
        </w:tc>
        <w:tc>
          <w:tcPr>
            <w:tcW w:w="992" w:type="dxa"/>
            <w:vAlign w:val="center"/>
          </w:tcPr>
          <w:p>
            <w:pPr>
              <w:spacing w:before="20" w:after="20"/>
              <w:jc w:val="center"/>
              <w:rPr>
                <w:sz w:val="20"/>
                <w:szCs w:val="20"/>
              </w:rPr>
            </w:pPr>
            <w:r>
              <w:rPr>
                <w:sz w:val="20"/>
                <w:szCs w:val="20"/>
              </w:rPr>
              <w:t>ед.</w:t>
            </w:r>
          </w:p>
        </w:tc>
        <w:tc>
          <w:tcPr>
            <w:tcW w:w="877" w:type="dxa"/>
            <w:vAlign w:val="center"/>
          </w:tcPr>
          <w:p>
            <w:pPr>
              <w:jc w:val="center"/>
              <w:rPr>
                <w:color w:val="000000"/>
                <w:sz w:val="20"/>
                <w:szCs w:val="20"/>
              </w:rPr>
            </w:pPr>
            <w:r>
              <w:rPr>
                <w:color w:val="000000"/>
                <w:sz w:val="20"/>
                <w:szCs w:val="20"/>
              </w:rPr>
              <w:t>95352</w:t>
            </w:r>
          </w:p>
        </w:tc>
        <w:tc>
          <w:tcPr>
            <w:tcW w:w="877" w:type="dxa"/>
            <w:vAlign w:val="center"/>
          </w:tcPr>
          <w:p>
            <w:pPr>
              <w:jc w:val="center"/>
              <w:rPr>
                <w:color w:val="000000"/>
                <w:sz w:val="20"/>
                <w:szCs w:val="20"/>
              </w:rPr>
            </w:pPr>
            <w:r>
              <w:rPr>
                <w:color w:val="000000"/>
                <w:sz w:val="20"/>
                <w:szCs w:val="20"/>
              </w:rPr>
              <w:t>97373</w:t>
            </w:r>
          </w:p>
        </w:tc>
        <w:tc>
          <w:tcPr>
            <w:tcW w:w="878" w:type="dxa"/>
            <w:vAlign w:val="center"/>
          </w:tcPr>
          <w:p>
            <w:pPr>
              <w:jc w:val="center"/>
              <w:rPr>
                <w:color w:val="000000"/>
                <w:sz w:val="20"/>
                <w:szCs w:val="20"/>
              </w:rPr>
            </w:pPr>
            <w:r>
              <w:rPr>
                <w:color w:val="000000"/>
                <w:sz w:val="20"/>
                <w:szCs w:val="20"/>
              </w:rPr>
              <w:t>99301</w:t>
            </w:r>
          </w:p>
        </w:tc>
        <w:tc>
          <w:tcPr>
            <w:tcW w:w="877" w:type="dxa"/>
            <w:vAlign w:val="center"/>
          </w:tcPr>
          <w:p>
            <w:pPr>
              <w:jc w:val="center"/>
              <w:rPr>
                <w:color w:val="000000"/>
                <w:sz w:val="20"/>
                <w:szCs w:val="20"/>
              </w:rPr>
            </w:pPr>
            <w:r>
              <w:rPr>
                <w:color w:val="000000"/>
                <w:sz w:val="20"/>
                <w:szCs w:val="20"/>
              </w:rPr>
              <w:t>101222</w:t>
            </w:r>
          </w:p>
        </w:tc>
        <w:tc>
          <w:tcPr>
            <w:tcW w:w="878" w:type="dxa"/>
            <w:vAlign w:val="center"/>
          </w:tcPr>
          <w:p>
            <w:pPr>
              <w:jc w:val="center"/>
              <w:rPr>
                <w:color w:val="000000"/>
                <w:sz w:val="20"/>
                <w:szCs w:val="20"/>
              </w:rPr>
            </w:pPr>
            <w:r>
              <w:rPr>
                <w:color w:val="000000"/>
                <w:sz w:val="20"/>
                <w:szCs w:val="20"/>
              </w:rPr>
              <w:t>103603</w:t>
            </w:r>
          </w:p>
        </w:tc>
        <w:tc>
          <w:tcPr>
            <w:tcW w:w="877" w:type="dxa"/>
            <w:vAlign w:val="center"/>
          </w:tcPr>
          <w:p>
            <w:pPr>
              <w:jc w:val="center"/>
              <w:rPr>
                <w:color w:val="000000"/>
                <w:sz w:val="20"/>
                <w:szCs w:val="20"/>
              </w:rPr>
            </w:pPr>
            <w:r>
              <w:rPr>
                <w:color w:val="000000"/>
                <w:sz w:val="20"/>
                <w:szCs w:val="20"/>
              </w:rPr>
              <w:t>115917</w:t>
            </w:r>
          </w:p>
        </w:tc>
        <w:tc>
          <w:tcPr>
            <w:tcW w:w="878" w:type="dxa"/>
            <w:vAlign w:val="center"/>
          </w:tcPr>
          <w:p>
            <w:pPr>
              <w:jc w:val="center"/>
              <w:rPr>
                <w:color w:val="000000"/>
                <w:sz w:val="20"/>
                <w:szCs w:val="20"/>
              </w:rPr>
            </w:pPr>
            <w:r>
              <w:rPr>
                <w:color w:val="000000"/>
                <w:sz w:val="20"/>
                <w:szCs w:val="20"/>
              </w:rPr>
              <w:t>123893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985" w:type="dxa"/>
            <w:vAlign w:val="center"/>
          </w:tcPr>
          <w:p>
            <w:pPr>
              <w:spacing w:before="20" w:after="20"/>
              <w:ind w:firstLine="200" w:firstLineChars="100"/>
              <w:rPr>
                <w:sz w:val="20"/>
                <w:szCs w:val="20"/>
              </w:rPr>
            </w:pPr>
            <w:r>
              <w:rPr>
                <w:sz w:val="20"/>
                <w:szCs w:val="20"/>
              </w:rPr>
              <w:t>ИОЗ</w:t>
            </w:r>
          </w:p>
        </w:tc>
        <w:tc>
          <w:tcPr>
            <w:tcW w:w="992" w:type="dxa"/>
            <w:vAlign w:val="center"/>
          </w:tcPr>
          <w:p>
            <w:pPr>
              <w:spacing w:before="20" w:after="20"/>
              <w:jc w:val="center"/>
              <w:rPr>
                <w:sz w:val="20"/>
                <w:szCs w:val="20"/>
              </w:rPr>
            </w:pPr>
            <w:r>
              <w:rPr>
                <w:sz w:val="20"/>
                <w:szCs w:val="20"/>
              </w:rPr>
              <w:t>ед.</w:t>
            </w:r>
          </w:p>
        </w:tc>
        <w:tc>
          <w:tcPr>
            <w:tcW w:w="877" w:type="dxa"/>
            <w:vAlign w:val="center"/>
          </w:tcPr>
          <w:p>
            <w:pPr>
              <w:jc w:val="center"/>
              <w:rPr>
                <w:color w:val="000000"/>
                <w:sz w:val="20"/>
                <w:szCs w:val="20"/>
              </w:rPr>
            </w:pPr>
            <w:r>
              <w:rPr>
                <w:color w:val="000000"/>
                <w:sz w:val="20"/>
                <w:szCs w:val="20"/>
              </w:rPr>
              <w:t>8336</w:t>
            </w:r>
          </w:p>
        </w:tc>
        <w:tc>
          <w:tcPr>
            <w:tcW w:w="877" w:type="dxa"/>
            <w:vAlign w:val="center"/>
          </w:tcPr>
          <w:p>
            <w:pPr>
              <w:jc w:val="center"/>
              <w:rPr>
                <w:color w:val="000000"/>
                <w:sz w:val="20"/>
                <w:szCs w:val="20"/>
              </w:rPr>
            </w:pPr>
            <w:r>
              <w:rPr>
                <w:color w:val="000000"/>
                <w:sz w:val="20"/>
                <w:szCs w:val="20"/>
              </w:rPr>
              <w:t>8423</w:t>
            </w:r>
          </w:p>
        </w:tc>
        <w:tc>
          <w:tcPr>
            <w:tcW w:w="878" w:type="dxa"/>
            <w:vAlign w:val="center"/>
          </w:tcPr>
          <w:p>
            <w:pPr>
              <w:jc w:val="center"/>
              <w:rPr>
                <w:color w:val="000000"/>
                <w:sz w:val="20"/>
                <w:szCs w:val="20"/>
              </w:rPr>
            </w:pPr>
            <w:r>
              <w:rPr>
                <w:color w:val="000000"/>
                <w:sz w:val="20"/>
                <w:szCs w:val="20"/>
              </w:rPr>
              <w:t>8508</w:t>
            </w:r>
          </w:p>
        </w:tc>
        <w:tc>
          <w:tcPr>
            <w:tcW w:w="877" w:type="dxa"/>
            <w:vAlign w:val="center"/>
          </w:tcPr>
          <w:p>
            <w:pPr>
              <w:jc w:val="center"/>
              <w:rPr>
                <w:color w:val="000000"/>
                <w:sz w:val="20"/>
                <w:szCs w:val="20"/>
              </w:rPr>
            </w:pPr>
            <w:r>
              <w:rPr>
                <w:color w:val="000000"/>
                <w:sz w:val="20"/>
                <w:szCs w:val="20"/>
              </w:rPr>
              <w:t>8594</w:t>
            </w:r>
          </w:p>
        </w:tc>
        <w:tc>
          <w:tcPr>
            <w:tcW w:w="878" w:type="dxa"/>
            <w:vAlign w:val="center"/>
          </w:tcPr>
          <w:p>
            <w:pPr>
              <w:jc w:val="center"/>
              <w:rPr>
                <w:color w:val="000000"/>
                <w:sz w:val="20"/>
                <w:szCs w:val="20"/>
              </w:rPr>
            </w:pPr>
            <w:r>
              <w:rPr>
                <w:color w:val="000000"/>
                <w:sz w:val="20"/>
                <w:szCs w:val="20"/>
              </w:rPr>
              <w:t>8702</w:t>
            </w:r>
          </w:p>
        </w:tc>
        <w:tc>
          <w:tcPr>
            <w:tcW w:w="877" w:type="dxa"/>
            <w:vAlign w:val="center"/>
          </w:tcPr>
          <w:p>
            <w:pPr>
              <w:jc w:val="center"/>
              <w:rPr>
                <w:color w:val="000000"/>
                <w:sz w:val="20"/>
                <w:szCs w:val="20"/>
              </w:rPr>
            </w:pPr>
            <w:r>
              <w:rPr>
                <w:color w:val="000000"/>
                <w:sz w:val="20"/>
                <w:szCs w:val="20"/>
              </w:rPr>
              <w:t>9289</w:t>
            </w:r>
          </w:p>
        </w:tc>
        <w:tc>
          <w:tcPr>
            <w:tcW w:w="878" w:type="dxa"/>
            <w:vAlign w:val="center"/>
          </w:tcPr>
          <w:p>
            <w:pPr>
              <w:jc w:val="center"/>
              <w:rPr>
                <w:color w:val="000000"/>
                <w:sz w:val="20"/>
                <w:szCs w:val="20"/>
              </w:rPr>
            </w:pPr>
            <w:r>
              <w:rPr>
                <w:color w:val="000000"/>
                <w:sz w:val="20"/>
                <w:szCs w:val="20"/>
              </w:rPr>
              <w:t>9693</w:t>
            </w:r>
          </w:p>
        </w:tc>
      </w:tr>
    </w:tbl>
    <w:p>
      <w:pPr>
        <w:autoSpaceDE w:val="0"/>
        <w:autoSpaceDN w:val="0"/>
        <w:adjustRightInd w:val="0"/>
        <w:spacing w:before="120" w:after="120"/>
        <w:jc w:val="both"/>
        <w:rPr>
          <w:sz w:val="20"/>
          <w:szCs w:val="20"/>
        </w:rPr>
      </w:pPr>
      <w:r>
        <w:rPr>
          <w:sz w:val="20"/>
          <w:szCs w:val="20"/>
        </w:rPr>
        <w:t xml:space="preserve">Источник: оценки ООО «ЦТЭС». </w:t>
      </w:r>
    </w:p>
    <w:p>
      <w:pPr>
        <w:tabs>
          <w:tab w:val="left" w:pos="1843"/>
        </w:tabs>
        <w:spacing w:line="360" w:lineRule="auto"/>
        <w:ind w:firstLine="567"/>
        <w:jc w:val="both"/>
        <w:rPr>
          <w:color w:val="000000"/>
          <w:sz w:val="28"/>
        </w:rPr>
      </w:pPr>
      <w:r>
        <w:rPr>
          <w:color w:val="000000"/>
          <w:sz w:val="28"/>
        </w:rPr>
        <w:t xml:space="preserve">Общая площадь жилых объектов, предполагаемых к возведению в 2018-2030 гг., оценивается в 2033 тыс. кв. м. На конец 2029 г. общая площадь жилых объектов составит 7995 тыс. кв. м. Количество домохозяйств за этот же период увеличится до 134 тысяч, большую часть которых будут составлять квартиры (124 тысячи). </w:t>
      </w:r>
    </w:p>
    <w:p>
      <w:pPr>
        <w:tabs>
          <w:tab w:val="left" w:pos="1843"/>
        </w:tabs>
        <w:spacing w:line="360" w:lineRule="auto"/>
        <w:ind w:firstLine="567"/>
        <w:jc w:val="both"/>
        <w:rPr>
          <w:color w:val="000000"/>
          <w:sz w:val="28"/>
        </w:rPr>
      </w:pPr>
      <w:r>
        <w:rPr>
          <w:color w:val="000000"/>
          <w:sz w:val="28"/>
          <w:szCs w:val="28"/>
        </w:rPr>
        <w:t xml:space="preserve"> </w:t>
      </w:r>
      <w:r>
        <w:rPr>
          <w:color w:val="000000"/>
          <w:sz w:val="28"/>
        </w:rPr>
        <w:t xml:space="preserve">Официальных источников получения данной информации по всем объектам нет (официальная статистика собирается только по бюджетным учреждениям высшего и среднего профессионального образования – соответственно, статистические формы 2-ВПО и 2-СПО). По причине отсутствия прогнозы общественно-деловой застройки были сделаны косвенным образом. </w:t>
      </w:r>
    </w:p>
    <w:p>
      <w:pPr>
        <w:pStyle w:val="73"/>
        <w:spacing w:after="0" w:line="360" w:lineRule="auto"/>
        <w:ind w:left="0" w:firstLine="567"/>
        <w:jc w:val="both"/>
        <w:rPr>
          <w:color w:val="000000"/>
          <w:sz w:val="28"/>
          <w:szCs w:val="28"/>
        </w:rPr>
      </w:pPr>
      <w:r>
        <w:rPr>
          <w:color w:val="000000"/>
          <w:sz w:val="28"/>
          <w:szCs w:val="28"/>
        </w:rPr>
        <w:t xml:space="preserve">Как правило, их площадь составляет 20-25% от общей площади жилого фонда муниципального образования, причем более высокие значения из этого интервала соответствуют крупным городам, к которым можно отнести Одинцово. Таким образом, была принята предпосылка о соотношении площади жилых и общественно-деловых зданий в пропорции 5:1. В свою очередь, последние можно разделить на бюджетные и прочие объекты, на которые условно из 25% приходится 10% и 15% площади, соответственно. Таким образом, были определены базовые значения площади бюджетных (596 тыс. кв. м) и прочих общественно-деловых зданий (894 тыс. кв. м).  </w:t>
      </w:r>
    </w:p>
    <w:p>
      <w:pPr>
        <w:pStyle w:val="73"/>
        <w:spacing w:after="0" w:line="360" w:lineRule="auto"/>
        <w:ind w:left="0" w:firstLine="567"/>
        <w:jc w:val="both"/>
        <w:rPr>
          <w:color w:val="000000"/>
          <w:sz w:val="28"/>
          <w:szCs w:val="28"/>
        </w:rPr>
      </w:pPr>
      <w:r>
        <w:rPr>
          <w:color w:val="000000"/>
          <w:sz w:val="28"/>
          <w:szCs w:val="28"/>
        </w:rPr>
        <w:t xml:space="preserve">Перспективная площадь объектов общественно-делового назначения формировалась с учетом оцененных базовых значений и экстраполяции тенденций строительства. Снос объектов общественно-делового назначения на период действия настоящей Программы не запланирован. </w:t>
      </w:r>
    </w:p>
    <w:p>
      <w:pPr>
        <w:tabs>
          <w:tab w:val="left" w:pos="1843"/>
        </w:tabs>
        <w:spacing w:line="360" w:lineRule="auto"/>
        <w:ind w:firstLine="567"/>
        <w:jc w:val="both"/>
        <w:rPr>
          <w:color w:val="000000"/>
          <w:sz w:val="28"/>
        </w:rPr>
      </w:pPr>
      <w:r>
        <w:rPr>
          <w:color w:val="000000"/>
          <w:sz w:val="28"/>
        </w:rPr>
        <w:t xml:space="preserve">В Генеральном и имеющихся планах по вводу объектов определены только назначение (образовательное, спортивное и т.п.), предполагаемая загрузка и в редких случаях собственно площадь. Кроме того, отсутствует указание на год ввода учреждения в эксплуатацию, а только на этап, в течение которого планируется это сделать. По этим причинам ООО «ЦТЭС» сформировал собственный прогноз. </w:t>
      </w:r>
    </w:p>
    <w:p>
      <w:pPr>
        <w:tabs>
          <w:tab w:val="left" w:pos="1843"/>
        </w:tabs>
        <w:spacing w:line="360" w:lineRule="auto"/>
        <w:ind w:firstLine="567"/>
        <w:jc w:val="both"/>
        <w:rPr>
          <w:color w:val="000000"/>
          <w:sz w:val="28"/>
        </w:rPr>
      </w:pPr>
      <w:r>
        <w:rPr>
          <w:color w:val="000000"/>
          <w:sz w:val="28"/>
        </w:rPr>
        <w:t xml:space="preserve">Объемы ввода бюджетных и прочих общественно-деловых зданий представлены в таблице 3-5 и Приложении 1. </w:t>
      </w:r>
    </w:p>
    <w:p>
      <w:pPr>
        <w:spacing w:line="360" w:lineRule="auto"/>
        <w:jc w:val="both"/>
        <w:rPr>
          <w:b/>
          <w:sz w:val="28"/>
          <w:szCs w:val="28"/>
        </w:rPr>
      </w:pPr>
      <w:r>
        <w:rPr>
          <w:b/>
          <w:sz w:val="28"/>
          <w:szCs w:val="28"/>
        </w:rPr>
        <w:t>Таблица 3-5. Характеристики общественно-деловых зданий</w:t>
      </w:r>
    </w:p>
    <w:tbl>
      <w:tblPr>
        <w:tblStyle w:val="10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993"/>
        <w:gridCol w:w="830"/>
        <w:gridCol w:w="830"/>
        <w:gridCol w:w="830"/>
        <w:gridCol w:w="830"/>
        <w:gridCol w:w="830"/>
        <w:gridCol w:w="830"/>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blHeader/>
        </w:trPr>
        <w:tc>
          <w:tcPr>
            <w:tcW w:w="2268" w:type="dxa"/>
            <w:vAlign w:val="center"/>
          </w:tcPr>
          <w:p>
            <w:pPr>
              <w:pStyle w:val="775"/>
              <w:spacing w:before="20" w:after="20"/>
              <w:rPr>
                <w:lang w:val="ru-RU"/>
              </w:rPr>
            </w:pPr>
            <w:r>
              <w:rPr>
                <w:lang w:val="ru-RU"/>
              </w:rPr>
              <w:t>Показатели</w:t>
            </w:r>
          </w:p>
        </w:tc>
        <w:tc>
          <w:tcPr>
            <w:tcW w:w="993" w:type="dxa"/>
            <w:vAlign w:val="center"/>
          </w:tcPr>
          <w:p>
            <w:pPr>
              <w:pStyle w:val="775"/>
              <w:spacing w:before="20" w:after="20"/>
              <w:rPr>
                <w:lang w:val="ru-RU"/>
              </w:rPr>
            </w:pPr>
            <w:r>
              <w:rPr>
                <w:lang w:val="ru-RU"/>
              </w:rPr>
              <w:t>Ед. изм.</w:t>
            </w:r>
          </w:p>
        </w:tc>
        <w:tc>
          <w:tcPr>
            <w:tcW w:w="830" w:type="dxa"/>
            <w:vAlign w:val="center"/>
          </w:tcPr>
          <w:p>
            <w:pPr>
              <w:pStyle w:val="775"/>
              <w:spacing w:before="20" w:after="20"/>
              <w:rPr>
                <w:lang w:val="ru-RU"/>
              </w:rPr>
            </w:pPr>
            <w:r>
              <w:rPr>
                <w:lang w:val="ru-RU"/>
              </w:rPr>
              <w:t>2017</w:t>
            </w:r>
          </w:p>
        </w:tc>
        <w:tc>
          <w:tcPr>
            <w:tcW w:w="830" w:type="dxa"/>
            <w:vAlign w:val="center"/>
          </w:tcPr>
          <w:p>
            <w:pPr>
              <w:pStyle w:val="775"/>
              <w:spacing w:before="20" w:after="20"/>
              <w:rPr>
                <w:lang w:val="ru-RU"/>
              </w:rPr>
            </w:pPr>
            <w:r>
              <w:rPr>
                <w:lang w:val="ru-RU"/>
              </w:rPr>
              <w:t>2018</w:t>
            </w:r>
          </w:p>
        </w:tc>
        <w:tc>
          <w:tcPr>
            <w:tcW w:w="830" w:type="dxa"/>
            <w:vAlign w:val="center"/>
          </w:tcPr>
          <w:p>
            <w:pPr>
              <w:pStyle w:val="775"/>
              <w:spacing w:before="20" w:after="20"/>
              <w:rPr>
                <w:lang w:val="ru-RU"/>
              </w:rPr>
            </w:pPr>
            <w:r>
              <w:rPr>
                <w:lang w:val="ru-RU"/>
              </w:rPr>
              <w:t>2019</w:t>
            </w:r>
          </w:p>
        </w:tc>
        <w:tc>
          <w:tcPr>
            <w:tcW w:w="830" w:type="dxa"/>
            <w:vAlign w:val="center"/>
          </w:tcPr>
          <w:p>
            <w:pPr>
              <w:pStyle w:val="775"/>
              <w:spacing w:before="20" w:after="20"/>
              <w:rPr>
                <w:lang w:val="ru-RU"/>
              </w:rPr>
            </w:pPr>
            <w:r>
              <w:rPr>
                <w:lang w:val="ru-RU"/>
              </w:rPr>
              <w:t>2020</w:t>
            </w:r>
          </w:p>
        </w:tc>
        <w:tc>
          <w:tcPr>
            <w:tcW w:w="830" w:type="dxa"/>
            <w:vAlign w:val="center"/>
          </w:tcPr>
          <w:p>
            <w:pPr>
              <w:pStyle w:val="775"/>
              <w:spacing w:before="20" w:after="20"/>
              <w:rPr>
                <w:lang w:val="ru-RU"/>
              </w:rPr>
            </w:pPr>
            <w:r>
              <w:rPr>
                <w:lang w:val="ru-RU"/>
              </w:rPr>
              <w:t>2021</w:t>
            </w:r>
          </w:p>
        </w:tc>
        <w:tc>
          <w:tcPr>
            <w:tcW w:w="830" w:type="dxa"/>
            <w:vAlign w:val="center"/>
          </w:tcPr>
          <w:p>
            <w:pPr>
              <w:pStyle w:val="775"/>
              <w:spacing w:before="20" w:after="20"/>
              <w:rPr>
                <w:lang w:val="ru-RU"/>
              </w:rPr>
            </w:pPr>
            <w:r>
              <w:rPr>
                <w:lang w:val="ru-RU"/>
              </w:rPr>
              <w:t>2026</w:t>
            </w:r>
          </w:p>
        </w:tc>
        <w:tc>
          <w:tcPr>
            <w:tcW w:w="831" w:type="dxa"/>
            <w:vAlign w:val="center"/>
          </w:tcPr>
          <w:p>
            <w:pPr>
              <w:pStyle w:val="775"/>
              <w:spacing w:before="20" w:after="20"/>
              <w:rPr>
                <w:lang w:val="ru-RU"/>
              </w:rPr>
            </w:pPr>
            <w:r>
              <w:rPr>
                <w:lang w:val="ru-RU"/>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68" w:type="dxa"/>
            <w:vAlign w:val="center"/>
          </w:tcPr>
          <w:p>
            <w:pPr>
              <w:pStyle w:val="776"/>
              <w:spacing w:before="20" w:after="20"/>
            </w:pPr>
            <w:r>
              <w:t>Общая площадь бюджетных объектов на конец года</w:t>
            </w:r>
          </w:p>
        </w:tc>
        <w:tc>
          <w:tcPr>
            <w:tcW w:w="993" w:type="dxa"/>
            <w:vAlign w:val="center"/>
          </w:tcPr>
          <w:p>
            <w:pPr>
              <w:pStyle w:val="776"/>
              <w:spacing w:before="20" w:after="20"/>
              <w:jc w:val="center"/>
              <w:rPr>
                <w:vertAlign w:val="superscript"/>
              </w:rPr>
            </w:pPr>
            <w:r>
              <w:t>тыс. м</w:t>
            </w:r>
            <w:r>
              <w:rPr>
                <w:vertAlign w:val="superscript"/>
              </w:rPr>
              <w:t>2</w:t>
            </w:r>
          </w:p>
        </w:tc>
        <w:tc>
          <w:tcPr>
            <w:tcW w:w="830" w:type="dxa"/>
            <w:vAlign w:val="center"/>
          </w:tcPr>
          <w:p>
            <w:pPr>
              <w:jc w:val="center"/>
              <w:rPr>
                <w:color w:val="000000"/>
                <w:sz w:val="20"/>
                <w:szCs w:val="20"/>
              </w:rPr>
            </w:pPr>
            <w:r>
              <w:rPr>
                <w:color w:val="000000"/>
                <w:sz w:val="20"/>
                <w:szCs w:val="20"/>
              </w:rPr>
              <w:t>596,0</w:t>
            </w:r>
          </w:p>
        </w:tc>
        <w:tc>
          <w:tcPr>
            <w:tcW w:w="830" w:type="dxa"/>
            <w:vAlign w:val="center"/>
          </w:tcPr>
          <w:p>
            <w:pPr>
              <w:jc w:val="center"/>
              <w:rPr>
                <w:color w:val="000000"/>
                <w:sz w:val="20"/>
                <w:szCs w:val="20"/>
              </w:rPr>
            </w:pPr>
            <w:r>
              <w:rPr>
                <w:color w:val="000000"/>
                <w:sz w:val="20"/>
                <w:szCs w:val="20"/>
              </w:rPr>
              <w:t>609,2</w:t>
            </w:r>
          </w:p>
        </w:tc>
        <w:tc>
          <w:tcPr>
            <w:tcW w:w="830" w:type="dxa"/>
            <w:vAlign w:val="center"/>
          </w:tcPr>
          <w:p>
            <w:pPr>
              <w:jc w:val="center"/>
              <w:rPr>
                <w:color w:val="000000"/>
                <w:sz w:val="20"/>
                <w:szCs w:val="20"/>
              </w:rPr>
            </w:pPr>
            <w:r>
              <w:rPr>
                <w:color w:val="000000"/>
                <w:sz w:val="20"/>
                <w:szCs w:val="20"/>
              </w:rPr>
              <w:t>621,9</w:t>
            </w:r>
          </w:p>
        </w:tc>
        <w:tc>
          <w:tcPr>
            <w:tcW w:w="830" w:type="dxa"/>
            <w:vAlign w:val="center"/>
          </w:tcPr>
          <w:p>
            <w:pPr>
              <w:jc w:val="center"/>
              <w:rPr>
                <w:color w:val="000000"/>
                <w:sz w:val="20"/>
                <w:szCs w:val="20"/>
              </w:rPr>
            </w:pPr>
            <w:r>
              <w:rPr>
                <w:color w:val="000000"/>
                <w:sz w:val="20"/>
                <w:szCs w:val="20"/>
              </w:rPr>
              <w:t>634,8</w:t>
            </w:r>
          </w:p>
        </w:tc>
        <w:tc>
          <w:tcPr>
            <w:tcW w:w="830" w:type="dxa"/>
            <w:vAlign w:val="center"/>
          </w:tcPr>
          <w:p>
            <w:pPr>
              <w:jc w:val="center"/>
              <w:rPr>
                <w:color w:val="000000"/>
                <w:sz w:val="20"/>
                <w:szCs w:val="20"/>
              </w:rPr>
            </w:pPr>
            <w:r>
              <w:rPr>
                <w:color w:val="000000"/>
                <w:sz w:val="20"/>
                <w:szCs w:val="20"/>
              </w:rPr>
              <w:t>651,1</w:t>
            </w:r>
          </w:p>
        </w:tc>
        <w:tc>
          <w:tcPr>
            <w:tcW w:w="830" w:type="dxa"/>
            <w:vAlign w:val="center"/>
          </w:tcPr>
          <w:p>
            <w:pPr>
              <w:jc w:val="center"/>
              <w:rPr>
                <w:color w:val="000000"/>
                <w:sz w:val="20"/>
                <w:szCs w:val="20"/>
              </w:rPr>
            </w:pPr>
            <w:r>
              <w:rPr>
                <w:color w:val="000000"/>
                <w:sz w:val="20"/>
                <w:szCs w:val="20"/>
              </w:rPr>
              <w:t>738,6</w:t>
            </w:r>
          </w:p>
        </w:tc>
        <w:tc>
          <w:tcPr>
            <w:tcW w:w="831" w:type="dxa"/>
            <w:vAlign w:val="center"/>
          </w:tcPr>
          <w:p>
            <w:pPr>
              <w:jc w:val="center"/>
              <w:rPr>
                <w:color w:val="000000"/>
                <w:sz w:val="20"/>
                <w:szCs w:val="20"/>
              </w:rPr>
            </w:pPr>
            <w:r>
              <w:rPr>
                <w:color w:val="000000"/>
                <w:sz w:val="20"/>
                <w:szCs w:val="20"/>
              </w:rPr>
              <w:t>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68" w:type="dxa"/>
            <w:vAlign w:val="center"/>
          </w:tcPr>
          <w:p>
            <w:pPr>
              <w:pStyle w:val="776"/>
              <w:spacing w:before="20" w:after="20"/>
              <w:ind w:firstLine="34"/>
              <w:rPr>
                <w:i/>
              </w:rPr>
            </w:pPr>
            <w:r>
              <w:t>Общая площадь прочих общественно-деловых объектов на конец года</w:t>
            </w:r>
          </w:p>
        </w:tc>
        <w:tc>
          <w:tcPr>
            <w:tcW w:w="993" w:type="dxa"/>
            <w:vAlign w:val="center"/>
          </w:tcPr>
          <w:p>
            <w:pPr>
              <w:spacing w:before="20" w:after="20"/>
              <w:jc w:val="center"/>
              <w:rPr>
                <w:sz w:val="20"/>
                <w:szCs w:val="20"/>
                <w:vertAlign w:val="superscript"/>
              </w:rPr>
            </w:pPr>
            <w:r>
              <w:rPr>
                <w:sz w:val="20"/>
                <w:szCs w:val="20"/>
              </w:rPr>
              <w:t>тыс. м</w:t>
            </w:r>
            <w:r>
              <w:rPr>
                <w:sz w:val="20"/>
                <w:szCs w:val="20"/>
                <w:vertAlign w:val="superscript"/>
              </w:rPr>
              <w:t>2</w:t>
            </w:r>
          </w:p>
        </w:tc>
        <w:tc>
          <w:tcPr>
            <w:tcW w:w="830" w:type="dxa"/>
            <w:vAlign w:val="center"/>
          </w:tcPr>
          <w:p>
            <w:pPr>
              <w:jc w:val="center"/>
              <w:rPr>
                <w:color w:val="000000"/>
                <w:sz w:val="20"/>
                <w:szCs w:val="20"/>
              </w:rPr>
            </w:pPr>
            <w:r>
              <w:rPr>
                <w:color w:val="000000"/>
                <w:sz w:val="20"/>
                <w:szCs w:val="20"/>
              </w:rPr>
              <w:t>894,0</w:t>
            </w:r>
          </w:p>
        </w:tc>
        <w:tc>
          <w:tcPr>
            <w:tcW w:w="830" w:type="dxa"/>
            <w:vAlign w:val="center"/>
          </w:tcPr>
          <w:p>
            <w:pPr>
              <w:jc w:val="center"/>
              <w:rPr>
                <w:color w:val="000000"/>
                <w:sz w:val="20"/>
                <w:szCs w:val="20"/>
              </w:rPr>
            </w:pPr>
            <w:r>
              <w:rPr>
                <w:color w:val="000000"/>
                <w:sz w:val="20"/>
                <w:szCs w:val="20"/>
              </w:rPr>
              <w:t>913,8</w:t>
            </w:r>
          </w:p>
        </w:tc>
        <w:tc>
          <w:tcPr>
            <w:tcW w:w="830" w:type="dxa"/>
            <w:vAlign w:val="center"/>
          </w:tcPr>
          <w:p>
            <w:pPr>
              <w:jc w:val="center"/>
              <w:rPr>
                <w:color w:val="000000"/>
                <w:sz w:val="20"/>
                <w:szCs w:val="20"/>
              </w:rPr>
            </w:pPr>
            <w:r>
              <w:rPr>
                <w:color w:val="000000"/>
                <w:sz w:val="20"/>
                <w:szCs w:val="20"/>
              </w:rPr>
              <w:t>932,7</w:t>
            </w:r>
          </w:p>
        </w:tc>
        <w:tc>
          <w:tcPr>
            <w:tcW w:w="830" w:type="dxa"/>
            <w:vAlign w:val="center"/>
          </w:tcPr>
          <w:p>
            <w:pPr>
              <w:jc w:val="center"/>
              <w:rPr>
                <w:color w:val="000000"/>
                <w:sz w:val="20"/>
                <w:szCs w:val="20"/>
              </w:rPr>
            </w:pPr>
            <w:r>
              <w:rPr>
                <w:color w:val="000000"/>
                <w:sz w:val="20"/>
                <w:szCs w:val="20"/>
              </w:rPr>
              <w:t>952,2</w:t>
            </w:r>
          </w:p>
        </w:tc>
        <w:tc>
          <w:tcPr>
            <w:tcW w:w="830" w:type="dxa"/>
            <w:vAlign w:val="center"/>
          </w:tcPr>
          <w:p>
            <w:pPr>
              <w:jc w:val="center"/>
              <w:rPr>
                <w:color w:val="000000"/>
                <w:sz w:val="20"/>
                <w:szCs w:val="20"/>
              </w:rPr>
            </w:pPr>
            <w:r>
              <w:rPr>
                <w:color w:val="000000"/>
                <w:sz w:val="20"/>
                <w:szCs w:val="20"/>
              </w:rPr>
              <w:t>976,7</w:t>
            </w:r>
          </w:p>
        </w:tc>
        <w:tc>
          <w:tcPr>
            <w:tcW w:w="830" w:type="dxa"/>
            <w:vAlign w:val="center"/>
          </w:tcPr>
          <w:p>
            <w:pPr>
              <w:jc w:val="center"/>
              <w:rPr>
                <w:color w:val="000000"/>
                <w:sz w:val="20"/>
                <w:szCs w:val="20"/>
              </w:rPr>
            </w:pPr>
            <w:r>
              <w:rPr>
                <w:color w:val="000000"/>
                <w:sz w:val="20"/>
                <w:szCs w:val="20"/>
              </w:rPr>
              <w:t>1107,9</w:t>
            </w:r>
          </w:p>
        </w:tc>
        <w:tc>
          <w:tcPr>
            <w:tcW w:w="831" w:type="dxa"/>
            <w:vAlign w:val="center"/>
          </w:tcPr>
          <w:p>
            <w:pPr>
              <w:jc w:val="center"/>
              <w:rPr>
                <w:color w:val="000000"/>
                <w:sz w:val="20"/>
                <w:szCs w:val="20"/>
              </w:rPr>
            </w:pPr>
            <w:r>
              <w:rPr>
                <w:color w:val="000000"/>
                <w:sz w:val="20"/>
                <w:szCs w:val="20"/>
              </w:rPr>
              <w:t>1199,2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268" w:type="dxa"/>
            <w:vAlign w:val="center"/>
          </w:tcPr>
          <w:p>
            <w:pPr>
              <w:pStyle w:val="776"/>
              <w:spacing w:before="20" w:after="20"/>
              <w:rPr>
                <w:b/>
              </w:rPr>
            </w:pPr>
            <w:r>
              <w:rPr>
                <w:b/>
              </w:rPr>
              <w:t>Всего</w:t>
            </w:r>
          </w:p>
        </w:tc>
        <w:tc>
          <w:tcPr>
            <w:tcW w:w="993" w:type="dxa"/>
            <w:vAlign w:val="center"/>
          </w:tcPr>
          <w:p>
            <w:pPr>
              <w:spacing w:before="20" w:after="20"/>
              <w:jc w:val="center"/>
              <w:rPr>
                <w:b/>
                <w:vertAlign w:val="superscript"/>
              </w:rPr>
            </w:pPr>
            <w:r>
              <w:rPr>
                <w:b/>
                <w:sz w:val="20"/>
                <w:szCs w:val="20"/>
              </w:rPr>
              <w:t>тыс. м</w:t>
            </w:r>
            <w:r>
              <w:rPr>
                <w:b/>
                <w:sz w:val="20"/>
                <w:szCs w:val="20"/>
                <w:vertAlign w:val="superscript"/>
              </w:rPr>
              <w:t>2</w:t>
            </w:r>
          </w:p>
        </w:tc>
        <w:tc>
          <w:tcPr>
            <w:tcW w:w="830" w:type="dxa"/>
            <w:vAlign w:val="center"/>
          </w:tcPr>
          <w:p>
            <w:pPr>
              <w:jc w:val="center"/>
              <w:rPr>
                <w:b/>
                <w:bCs/>
                <w:color w:val="000000"/>
                <w:sz w:val="20"/>
                <w:szCs w:val="20"/>
              </w:rPr>
            </w:pPr>
            <w:r>
              <w:rPr>
                <w:b/>
                <w:bCs/>
                <w:color w:val="000000"/>
                <w:sz w:val="20"/>
                <w:szCs w:val="20"/>
              </w:rPr>
              <w:t>1489,9</w:t>
            </w:r>
          </w:p>
        </w:tc>
        <w:tc>
          <w:tcPr>
            <w:tcW w:w="830" w:type="dxa"/>
            <w:vAlign w:val="center"/>
          </w:tcPr>
          <w:p>
            <w:pPr>
              <w:jc w:val="center"/>
              <w:rPr>
                <w:b/>
                <w:bCs/>
                <w:color w:val="000000"/>
                <w:sz w:val="20"/>
                <w:szCs w:val="20"/>
              </w:rPr>
            </w:pPr>
            <w:r>
              <w:rPr>
                <w:b/>
                <w:bCs/>
                <w:color w:val="000000"/>
                <w:sz w:val="20"/>
                <w:szCs w:val="20"/>
              </w:rPr>
              <w:t>1523,0</w:t>
            </w:r>
          </w:p>
        </w:tc>
        <w:tc>
          <w:tcPr>
            <w:tcW w:w="830" w:type="dxa"/>
            <w:vAlign w:val="center"/>
          </w:tcPr>
          <w:p>
            <w:pPr>
              <w:jc w:val="center"/>
              <w:rPr>
                <w:b/>
                <w:bCs/>
                <w:color w:val="000000"/>
                <w:sz w:val="20"/>
                <w:szCs w:val="20"/>
              </w:rPr>
            </w:pPr>
            <w:r>
              <w:rPr>
                <w:b/>
                <w:bCs/>
                <w:color w:val="000000"/>
                <w:sz w:val="20"/>
                <w:szCs w:val="20"/>
              </w:rPr>
              <w:t>1554,6</w:t>
            </w:r>
          </w:p>
        </w:tc>
        <w:tc>
          <w:tcPr>
            <w:tcW w:w="830" w:type="dxa"/>
            <w:vAlign w:val="center"/>
          </w:tcPr>
          <w:p>
            <w:pPr>
              <w:jc w:val="center"/>
              <w:rPr>
                <w:b/>
                <w:bCs/>
                <w:color w:val="000000"/>
                <w:sz w:val="20"/>
                <w:szCs w:val="20"/>
              </w:rPr>
            </w:pPr>
            <w:r>
              <w:rPr>
                <w:b/>
                <w:bCs/>
                <w:color w:val="000000"/>
                <w:sz w:val="20"/>
                <w:szCs w:val="20"/>
              </w:rPr>
              <w:t>1587,0</w:t>
            </w:r>
          </w:p>
        </w:tc>
        <w:tc>
          <w:tcPr>
            <w:tcW w:w="830" w:type="dxa"/>
            <w:vAlign w:val="center"/>
          </w:tcPr>
          <w:p>
            <w:pPr>
              <w:jc w:val="center"/>
              <w:rPr>
                <w:b/>
                <w:bCs/>
                <w:color w:val="000000"/>
                <w:sz w:val="20"/>
                <w:szCs w:val="20"/>
              </w:rPr>
            </w:pPr>
            <w:r>
              <w:rPr>
                <w:b/>
                <w:bCs/>
                <w:color w:val="000000"/>
                <w:sz w:val="20"/>
                <w:szCs w:val="20"/>
              </w:rPr>
              <w:t>1627,8</w:t>
            </w:r>
          </w:p>
        </w:tc>
        <w:tc>
          <w:tcPr>
            <w:tcW w:w="830" w:type="dxa"/>
            <w:vAlign w:val="center"/>
          </w:tcPr>
          <w:p>
            <w:pPr>
              <w:jc w:val="center"/>
              <w:rPr>
                <w:b/>
                <w:bCs/>
                <w:color w:val="000000"/>
                <w:sz w:val="20"/>
                <w:szCs w:val="20"/>
              </w:rPr>
            </w:pPr>
            <w:r>
              <w:rPr>
                <w:b/>
                <w:bCs/>
                <w:color w:val="000000"/>
                <w:sz w:val="20"/>
                <w:szCs w:val="20"/>
              </w:rPr>
              <w:t>1846,5</w:t>
            </w:r>
          </w:p>
        </w:tc>
        <w:tc>
          <w:tcPr>
            <w:tcW w:w="831" w:type="dxa"/>
            <w:vAlign w:val="center"/>
          </w:tcPr>
          <w:p>
            <w:pPr>
              <w:jc w:val="center"/>
              <w:rPr>
                <w:b/>
                <w:bCs/>
                <w:color w:val="000000"/>
                <w:sz w:val="20"/>
                <w:szCs w:val="20"/>
              </w:rPr>
            </w:pPr>
            <w:r>
              <w:rPr>
                <w:b/>
                <w:bCs/>
                <w:color w:val="000000"/>
                <w:sz w:val="20"/>
                <w:szCs w:val="20"/>
              </w:rPr>
              <w:t>1998,6</w:t>
            </w:r>
          </w:p>
        </w:tc>
      </w:tr>
    </w:tbl>
    <w:p>
      <w:pPr>
        <w:autoSpaceDE w:val="0"/>
        <w:autoSpaceDN w:val="0"/>
        <w:adjustRightInd w:val="0"/>
        <w:spacing w:before="120" w:after="120"/>
        <w:jc w:val="both"/>
        <w:rPr>
          <w:sz w:val="20"/>
          <w:szCs w:val="20"/>
        </w:rPr>
      </w:pPr>
      <w:r>
        <w:rPr>
          <w:sz w:val="20"/>
          <w:szCs w:val="20"/>
        </w:rPr>
        <w:t xml:space="preserve">Источник: оценки ООО «ЦТЭС». </w:t>
      </w:r>
    </w:p>
    <w:p>
      <w:pPr>
        <w:tabs>
          <w:tab w:val="left" w:pos="1843"/>
        </w:tabs>
        <w:spacing w:line="360" w:lineRule="auto"/>
        <w:ind w:firstLine="567"/>
        <w:jc w:val="both"/>
        <w:rPr>
          <w:color w:val="000000"/>
          <w:sz w:val="28"/>
        </w:rPr>
      </w:pPr>
      <w:r>
        <w:rPr>
          <w:color w:val="000000"/>
          <w:sz w:val="28"/>
        </w:rPr>
        <w:t>Общая площадь общественно-деловых объектов, предполагаемых к возведению в 2018-2030 гг. оценивается в 508 тыс. кв. м, в т.ч.: бюджетные – 203 тыс. кв. м; прочие – 305 тыс. кв. м. На конец 2029 г. общая площадь общественно-деловых объектов составит – 1998,6 тыс. кв. м, в т.ч.: бюджетные – 799,5 тыс. кв. м; прочие – 1199,2 тыс. кв. м.</w:t>
      </w:r>
    </w:p>
    <w:p>
      <w:pPr>
        <w:tabs>
          <w:tab w:val="left" w:pos="1843"/>
        </w:tabs>
        <w:spacing w:line="360" w:lineRule="auto"/>
        <w:ind w:firstLine="567"/>
        <w:jc w:val="both"/>
        <w:rPr>
          <w:color w:val="222222"/>
          <w:sz w:val="28"/>
          <w:szCs w:val="28"/>
        </w:rPr>
      </w:pPr>
    </w:p>
    <w:p>
      <w:pPr>
        <w:pStyle w:val="154"/>
        <w:numPr>
          <w:ilvl w:val="2"/>
          <w:numId w:val="30"/>
        </w:numPr>
        <w:spacing w:after="120" w:line="235" w:lineRule="auto"/>
        <w:jc w:val="both"/>
        <w:rPr>
          <w:sz w:val="28"/>
          <w:szCs w:val="28"/>
          <w:u w:val="single"/>
        </w:rPr>
      </w:pPr>
      <w:r>
        <w:rPr>
          <w:sz w:val="28"/>
          <w:szCs w:val="28"/>
          <w:u w:val="single"/>
        </w:rPr>
        <w:t>Прогноз развития промышленной застройки</w:t>
      </w:r>
    </w:p>
    <w:p>
      <w:pPr>
        <w:autoSpaceDE w:val="0"/>
        <w:spacing w:line="360" w:lineRule="auto"/>
        <w:ind w:firstLine="567"/>
        <w:jc w:val="both"/>
        <w:rPr>
          <w:color w:val="000000"/>
          <w:sz w:val="28"/>
        </w:rPr>
      </w:pPr>
      <w:r>
        <w:rPr>
          <w:color w:val="000000"/>
          <w:sz w:val="28"/>
        </w:rPr>
        <w:t xml:space="preserve"> Официальных источников получения данной информации нет. Оценка площади каким-либо косвенным образом (на основании других данных) не будет носить достоверный характер в силу существования большой специфики между объектами (административные здания, цеха, складские помещения и т.п.) предприятий различного промышленного профиля, которые сложно унифицировать и, соответственно, получить какую-то универсальную оценку, которую можно было бы использовать при расчете площади. </w:t>
      </w:r>
    </w:p>
    <w:p>
      <w:pPr>
        <w:autoSpaceDE w:val="0"/>
        <w:spacing w:line="360" w:lineRule="auto"/>
        <w:ind w:firstLine="567"/>
        <w:jc w:val="both"/>
        <w:rPr>
          <w:color w:val="000000"/>
          <w:sz w:val="28"/>
        </w:rPr>
      </w:pPr>
      <w:r>
        <w:rPr>
          <w:color w:val="000000"/>
          <w:sz w:val="28"/>
        </w:rPr>
        <w:t xml:space="preserve">В Генеральном плане нет указания на появление новых коммунальных нагрузок, ассоциируемых с производственными зонами. </w:t>
      </w:r>
    </w:p>
    <w:p>
      <w:pPr>
        <w:autoSpaceDE w:val="0"/>
        <w:autoSpaceDN w:val="0"/>
        <w:adjustRightInd w:val="0"/>
        <w:spacing w:line="360" w:lineRule="auto"/>
        <w:jc w:val="both"/>
        <w:rPr>
          <w:color w:val="000000"/>
          <w:sz w:val="28"/>
        </w:rPr>
      </w:pPr>
      <w:r>
        <w:rPr>
          <w:color w:val="000000"/>
          <w:sz w:val="28"/>
        </w:rPr>
        <w:t>Перспективная площадь производственной застройки, главным образом, необходима для прогнозирования спроса на коммунальные ресурсы со стороны промышленных предприятий. Однако, в данном контексте сведения о площади могут быть полезны до известной степени в силу описанных выше различий между вводимыми зданиями, строениями и сооружениями (например, часть вводимых помещений может в принципе не отапливаться). В этой связи предлагается использовать другой подход при прогнозировании спроса на коммунальные ресурсы со стороны действующих промышленных предприятий, базирующийся на прогнозах развития сектора производства промышленных товаров.</w:t>
      </w:r>
    </w:p>
    <w:p>
      <w:pPr>
        <w:spacing w:before="120" w:after="120"/>
        <w:rPr>
          <w:color w:val="000000"/>
          <w:sz w:val="28"/>
          <w:szCs w:val="28"/>
        </w:rPr>
      </w:pPr>
      <w:r>
        <w:rPr>
          <w:color w:val="000000"/>
          <w:sz w:val="28"/>
          <w:szCs w:val="28"/>
        </w:rPr>
        <w:t xml:space="preserve"> </w:t>
      </w:r>
    </w:p>
    <w:p>
      <w:pPr>
        <w:pStyle w:val="3"/>
        <w:numPr>
          <w:ilvl w:val="1"/>
          <w:numId w:val="30"/>
        </w:numPr>
        <w:pBdr>
          <w:bottom w:val="single" w:color="auto" w:sz="12" w:space="0"/>
        </w:pBdr>
        <w:tabs>
          <w:tab w:val="left" w:pos="1276"/>
        </w:tabs>
        <w:spacing w:before="0" w:after="200"/>
        <w:ind w:left="1276" w:hanging="567"/>
        <w:rPr>
          <w:rFonts w:ascii="Times New Roman" w:hAnsi="Times New Roman"/>
          <w:i w:val="0"/>
          <w:color w:val="000000"/>
          <w:sz w:val="30"/>
          <w:szCs w:val="30"/>
        </w:rPr>
      </w:pPr>
      <w:bookmarkStart w:id="34" w:name="_Toc21015052"/>
      <w:r>
        <w:rPr>
          <w:rFonts w:ascii="Times New Roman" w:hAnsi="Times New Roman"/>
          <w:i w:val="0"/>
          <w:color w:val="000000"/>
          <w:sz w:val="30"/>
          <w:szCs w:val="30"/>
        </w:rPr>
        <w:t>Прогноз спроса на коммунальные ресурсы</w:t>
      </w:r>
      <w:bookmarkEnd w:id="34"/>
    </w:p>
    <w:p>
      <w:pPr>
        <w:spacing w:line="360" w:lineRule="auto"/>
        <w:ind w:firstLine="709"/>
        <w:jc w:val="both"/>
        <w:rPr>
          <w:color w:val="000000"/>
          <w:spacing w:val="-3"/>
          <w:sz w:val="28"/>
          <w:szCs w:val="28"/>
        </w:rPr>
      </w:pPr>
      <w:r>
        <w:rPr>
          <w:color w:val="000000"/>
          <w:spacing w:val="-3"/>
          <w:sz w:val="28"/>
          <w:szCs w:val="28"/>
        </w:rPr>
        <w:t xml:space="preserve">Оценка перспективных объемов потребления коммунальных ресурсов была произведена посредством коррекции базового уровня потребления на динамику численности населения, площадь жилых зданий и объектов социального и культурно-бытового назначения, объем выпуска продукции предприятиями и организациями, с учетом энергосберегающих эффектов от реализации предлагаемых мероприятий настоящей Программы. </w:t>
      </w:r>
    </w:p>
    <w:p>
      <w:pPr>
        <w:pStyle w:val="154"/>
        <w:numPr>
          <w:ilvl w:val="2"/>
          <w:numId w:val="30"/>
        </w:numPr>
        <w:spacing w:after="120" w:line="235" w:lineRule="auto"/>
        <w:ind w:hanging="863"/>
        <w:jc w:val="both"/>
        <w:rPr>
          <w:sz w:val="28"/>
          <w:szCs w:val="28"/>
          <w:u w:val="single"/>
        </w:rPr>
      </w:pPr>
      <w:r>
        <w:rPr>
          <w:sz w:val="28"/>
          <w:szCs w:val="28"/>
          <w:u w:val="single"/>
        </w:rPr>
        <w:t>Теплоснабжение</w:t>
      </w:r>
    </w:p>
    <w:p>
      <w:pPr>
        <w:spacing w:line="360" w:lineRule="auto"/>
        <w:ind w:firstLine="567"/>
        <w:jc w:val="both"/>
        <w:rPr>
          <w:color w:val="000000"/>
          <w:sz w:val="28"/>
          <w:szCs w:val="28"/>
        </w:rPr>
      </w:pPr>
      <w:r>
        <w:rPr>
          <w:color w:val="000000"/>
          <w:sz w:val="28"/>
          <w:szCs w:val="28"/>
        </w:rPr>
        <w:t xml:space="preserve"> Объемы экономии тепловой энергии были определены в соответствии с предлагаемыми к реализации мероприятиями. Совокупный объем экономии тепловой энергии за весь период реализации настоящей Программы составит 120,6 тыс. Гкал и 30,63 млн куб. м природного газа.</w:t>
      </w:r>
    </w:p>
    <w:p>
      <w:pPr>
        <w:spacing w:line="360" w:lineRule="auto"/>
        <w:ind w:firstLine="567"/>
        <w:jc w:val="both"/>
        <w:rPr>
          <w:color w:val="000000"/>
          <w:sz w:val="28"/>
          <w:szCs w:val="28"/>
        </w:rPr>
      </w:pPr>
      <w:r>
        <w:rPr>
          <w:color w:val="000000"/>
          <w:sz w:val="28"/>
          <w:szCs w:val="28"/>
        </w:rPr>
        <w:t xml:space="preserve">Результаты оценки объемов совокупного потребления тепловой энергии на перспективу приведены в Приложении 3. годовое потребление тепловой энергии населением к концу срока реализации настоящей Программы составит 666 тыс. Гкал Гкал. </w:t>
      </w:r>
    </w:p>
    <w:p>
      <w:pPr>
        <w:spacing w:line="360" w:lineRule="auto"/>
        <w:ind w:firstLine="567"/>
        <w:jc w:val="both"/>
        <w:rPr>
          <w:color w:val="000000"/>
          <w:sz w:val="28"/>
          <w:szCs w:val="28"/>
        </w:rPr>
      </w:pPr>
    </w:p>
    <w:p>
      <w:pPr>
        <w:pStyle w:val="154"/>
        <w:numPr>
          <w:ilvl w:val="2"/>
          <w:numId w:val="30"/>
        </w:numPr>
        <w:spacing w:after="120" w:line="235" w:lineRule="auto"/>
        <w:ind w:hanging="863"/>
        <w:jc w:val="both"/>
        <w:rPr>
          <w:sz w:val="28"/>
          <w:szCs w:val="28"/>
          <w:u w:val="single"/>
        </w:rPr>
      </w:pPr>
      <w:r>
        <w:rPr>
          <w:sz w:val="28"/>
          <w:szCs w:val="28"/>
          <w:u w:val="single"/>
        </w:rPr>
        <w:t>Водоснабжение</w:t>
      </w:r>
    </w:p>
    <w:p>
      <w:pPr>
        <w:spacing w:line="360" w:lineRule="auto"/>
        <w:ind w:firstLine="567"/>
        <w:jc w:val="both"/>
        <w:rPr>
          <w:color w:val="000000"/>
          <w:sz w:val="28"/>
          <w:szCs w:val="28"/>
        </w:rPr>
      </w:pPr>
      <w:r>
        <w:rPr>
          <w:color w:val="000000"/>
          <w:sz w:val="28"/>
          <w:szCs w:val="28"/>
        </w:rPr>
        <w:t xml:space="preserve"> Объемы экономии воды были определены в соответствии с предлагаемыми к реализации мероприятиями. Совокупный объем экономии холодной воды за весь период реализации настоящей Программы составит 160,3 тыс. куб. м. и 31,7 тыс. кВт*ч. </w:t>
      </w:r>
    </w:p>
    <w:p>
      <w:pPr>
        <w:spacing w:line="360" w:lineRule="auto"/>
        <w:ind w:firstLine="567"/>
        <w:jc w:val="both"/>
        <w:rPr>
          <w:color w:val="000000"/>
          <w:sz w:val="28"/>
          <w:szCs w:val="28"/>
        </w:rPr>
      </w:pPr>
      <w:r>
        <w:rPr>
          <w:color w:val="000000"/>
          <w:sz w:val="28"/>
          <w:szCs w:val="28"/>
        </w:rPr>
        <w:t xml:space="preserve">Результаты оценки объемов совокупного потребления холодной воды на перспективу приведены в Приложении 3. Определенное на основе вышеизложенных предположений годовое потребление холодной воды населением к концу срока реализации настоящей Программы составит 13,0 млн. куб. м.  </w:t>
      </w:r>
    </w:p>
    <w:p>
      <w:pPr>
        <w:spacing w:line="360" w:lineRule="auto"/>
        <w:ind w:firstLine="567"/>
        <w:jc w:val="both"/>
        <w:rPr>
          <w:color w:val="000000"/>
          <w:sz w:val="28"/>
          <w:szCs w:val="28"/>
        </w:rPr>
      </w:pPr>
    </w:p>
    <w:p>
      <w:pPr>
        <w:pStyle w:val="154"/>
        <w:numPr>
          <w:ilvl w:val="2"/>
          <w:numId w:val="30"/>
        </w:numPr>
        <w:spacing w:after="120" w:line="235" w:lineRule="auto"/>
        <w:ind w:hanging="863"/>
        <w:jc w:val="both"/>
        <w:rPr>
          <w:sz w:val="28"/>
          <w:szCs w:val="28"/>
          <w:u w:val="single"/>
        </w:rPr>
      </w:pPr>
      <w:r>
        <w:rPr>
          <w:sz w:val="28"/>
          <w:szCs w:val="28"/>
          <w:u w:val="single"/>
        </w:rPr>
        <w:t>Водоотведение</w:t>
      </w:r>
    </w:p>
    <w:p>
      <w:pPr>
        <w:spacing w:line="360" w:lineRule="auto"/>
        <w:ind w:firstLine="567"/>
        <w:jc w:val="both"/>
        <w:rPr>
          <w:color w:val="000000"/>
          <w:sz w:val="28"/>
          <w:szCs w:val="28"/>
        </w:rPr>
      </w:pPr>
      <w:r>
        <w:rPr>
          <w:color w:val="000000"/>
          <w:sz w:val="28"/>
          <w:szCs w:val="28"/>
        </w:rPr>
        <w:t xml:space="preserve"> Объемы экономии стоков были определены в соответствии с предлагаемыми к реализации мероприятиями. Совокупный объем экономии стоков за весь период реализации настоящей Программы составит 2,55 тыс. кВт*ч электрической энергии. </w:t>
      </w:r>
    </w:p>
    <w:p>
      <w:pPr>
        <w:spacing w:line="360" w:lineRule="auto"/>
        <w:ind w:firstLine="567"/>
        <w:jc w:val="both"/>
        <w:rPr>
          <w:color w:val="000000"/>
          <w:sz w:val="28"/>
          <w:szCs w:val="28"/>
        </w:rPr>
      </w:pPr>
      <w:r>
        <w:rPr>
          <w:color w:val="000000"/>
          <w:sz w:val="28"/>
          <w:szCs w:val="28"/>
        </w:rPr>
        <w:t xml:space="preserve">Результаты оценки объемов совокупного объема отведенных стоков на перспективу приведены в Приложении 3. Определенное на основе вышеизложенного предположения годовое отведение стоков от населения к концу срока реализации настоящей Программы составит 11,71 млн куб. м. </w:t>
      </w:r>
    </w:p>
    <w:p>
      <w:pPr>
        <w:spacing w:line="360" w:lineRule="auto"/>
        <w:ind w:firstLine="567"/>
        <w:jc w:val="both"/>
        <w:rPr>
          <w:color w:val="000000"/>
          <w:sz w:val="28"/>
          <w:szCs w:val="28"/>
        </w:rPr>
      </w:pPr>
    </w:p>
    <w:p>
      <w:pPr>
        <w:pStyle w:val="154"/>
        <w:numPr>
          <w:ilvl w:val="2"/>
          <w:numId w:val="30"/>
        </w:numPr>
        <w:spacing w:after="120" w:line="235" w:lineRule="auto"/>
        <w:ind w:hanging="863"/>
        <w:jc w:val="both"/>
        <w:rPr>
          <w:sz w:val="28"/>
          <w:szCs w:val="28"/>
          <w:u w:val="single"/>
        </w:rPr>
      </w:pPr>
      <w:r>
        <w:rPr>
          <w:sz w:val="28"/>
          <w:szCs w:val="28"/>
          <w:u w:val="single"/>
        </w:rPr>
        <w:t>Электроснабжение</w:t>
      </w:r>
    </w:p>
    <w:p>
      <w:pPr>
        <w:spacing w:line="360" w:lineRule="auto"/>
        <w:ind w:firstLine="567"/>
        <w:jc w:val="both"/>
        <w:rPr>
          <w:color w:val="000000"/>
          <w:sz w:val="28"/>
          <w:szCs w:val="28"/>
        </w:rPr>
      </w:pPr>
      <w:r>
        <w:rPr>
          <w:color w:val="000000"/>
          <w:sz w:val="28"/>
          <w:szCs w:val="28"/>
        </w:rPr>
        <w:t xml:space="preserve"> Результаты оценки объемов совокупного потребления электрической энергии на перспективу приведены в Приложении 3 Тома 2 «Обосновывающие материалы к Програмному документу». Определенное на основе вышеизложенных предположений годовое потребление электрической энергии населением к концу срока реализации настоящей Программы составит 320 млн. кВт*ч.</w:t>
      </w:r>
    </w:p>
    <w:p>
      <w:pPr>
        <w:spacing w:line="360" w:lineRule="auto"/>
        <w:ind w:firstLine="567"/>
        <w:jc w:val="both"/>
        <w:rPr>
          <w:color w:val="000000"/>
          <w:sz w:val="28"/>
          <w:szCs w:val="28"/>
        </w:rPr>
      </w:pPr>
    </w:p>
    <w:p>
      <w:pPr>
        <w:pStyle w:val="154"/>
        <w:numPr>
          <w:ilvl w:val="2"/>
          <w:numId w:val="30"/>
        </w:numPr>
        <w:spacing w:after="120" w:line="235" w:lineRule="auto"/>
        <w:ind w:hanging="863"/>
        <w:jc w:val="both"/>
        <w:rPr>
          <w:sz w:val="28"/>
          <w:szCs w:val="28"/>
          <w:u w:val="single"/>
        </w:rPr>
      </w:pPr>
      <w:r>
        <w:rPr>
          <w:sz w:val="28"/>
          <w:szCs w:val="28"/>
          <w:u w:val="single"/>
        </w:rPr>
        <w:t>Газоснабжение</w:t>
      </w:r>
    </w:p>
    <w:p>
      <w:pPr>
        <w:pStyle w:val="154"/>
        <w:spacing w:line="360" w:lineRule="auto"/>
        <w:ind w:left="0" w:firstLine="567"/>
        <w:jc w:val="both"/>
        <w:rPr>
          <w:color w:val="000000"/>
          <w:sz w:val="28"/>
          <w:szCs w:val="28"/>
        </w:rPr>
      </w:pPr>
      <w:r>
        <w:rPr>
          <w:color w:val="000000"/>
          <w:sz w:val="28"/>
          <w:szCs w:val="28"/>
        </w:rPr>
        <w:t xml:space="preserve"> В отношении сжиженного газа делается предположение, что к концу срока реализации настоящей Программы его потребление снизится примерно в два раза и составит 448 тонн в 2030 году.</w:t>
      </w:r>
    </w:p>
    <w:p>
      <w:pPr>
        <w:spacing w:line="360" w:lineRule="auto"/>
        <w:ind w:firstLine="567"/>
        <w:jc w:val="both"/>
        <w:rPr>
          <w:color w:val="000000"/>
          <w:sz w:val="28"/>
          <w:szCs w:val="28"/>
        </w:rPr>
      </w:pPr>
      <w:r>
        <w:rPr>
          <w:color w:val="000000"/>
          <w:sz w:val="28"/>
          <w:szCs w:val="28"/>
        </w:rPr>
        <w:t xml:space="preserve">Результаты оценки объемов совокупного годового потребления природного газа на перспективу приведены в Приложении 3. Определенное на основе вышеизложенных предположений годовое потребление природного газа населением к концу срока реализации настоящей Программы составит 134,6 млн куб. м.    </w:t>
      </w:r>
    </w:p>
    <w:p>
      <w:pPr>
        <w:spacing w:line="360" w:lineRule="auto"/>
        <w:jc w:val="both"/>
        <w:rPr>
          <w:color w:val="000000"/>
          <w:sz w:val="28"/>
          <w:szCs w:val="28"/>
        </w:rPr>
      </w:pPr>
    </w:p>
    <w:p>
      <w:pPr>
        <w:pStyle w:val="154"/>
        <w:numPr>
          <w:ilvl w:val="2"/>
          <w:numId w:val="30"/>
        </w:numPr>
        <w:spacing w:after="120" w:line="235" w:lineRule="auto"/>
        <w:ind w:hanging="863"/>
        <w:jc w:val="both"/>
        <w:rPr>
          <w:i/>
          <w:color w:val="000000"/>
          <w:sz w:val="30"/>
          <w:szCs w:val="30"/>
        </w:rPr>
      </w:pPr>
      <w:r>
        <w:rPr>
          <w:sz w:val="28"/>
          <w:szCs w:val="28"/>
          <w:u w:val="single"/>
        </w:rPr>
        <w:t>Обращение твердых коммунальных отходов</w:t>
      </w:r>
    </w:p>
    <w:p>
      <w:pPr>
        <w:spacing w:line="360" w:lineRule="auto"/>
        <w:ind w:firstLine="567"/>
        <w:jc w:val="both"/>
        <w:rPr>
          <w:color w:val="000000"/>
          <w:sz w:val="28"/>
          <w:szCs w:val="28"/>
        </w:rPr>
      </w:pPr>
      <w:r>
        <w:rPr>
          <w:color w:val="000000"/>
          <w:sz w:val="28"/>
          <w:szCs w:val="28"/>
        </w:rPr>
        <w:t xml:space="preserve">Результаты оценки объемов годового образования твердых коммунальных отходов на перспективу приведены в Приложении 3 Тома 2 «Обосновывающие материалы к Програмному документу». Определенное на основе вышеизложенных предположений годовой объем образованных твердых коммунальных отходов у населения к концу срока реализации настоящей Программы составит 720,2 тыс. куб. м.  </w:t>
      </w:r>
    </w:p>
    <w:p>
      <w:pPr>
        <w:spacing w:line="360" w:lineRule="auto"/>
        <w:jc w:val="both"/>
        <w:rPr>
          <w:color w:val="000000"/>
          <w:sz w:val="28"/>
          <w:szCs w:val="28"/>
        </w:rPr>
      </w:pPr>
    </w:p>
    <w:p>
      <w:pPr>
        <w:pStyle w:val="2"/>
        <w:spacing w:after="0"/>
        <w:ind w:left="0"/>
        <w:jc w:val="left"/>
        <w:rPr>
          <w:rFonts w:ascii="Times New Roman" w:hAnsi="Times New Roman"/>
        </w:rPr>
        <w:sectPr>
          <w:footerReference r:id="rId10" w:type="first"/>
          <w:footerReference r:id="rId9" w:type="default"/>
          <w:pgSz w:w="11906" w:h="16838"/>
          <w:pgMar w:top="1276" w:right="1134" w:bottom="1134" w:left="1701" w:header="709" w:footer="709" w:gutter="0"/>
          <w:cols w:space="708" w:num="1"/>
          <w:docGrid w:linePitch="381" w:charSpace="0"/>
        </w:sectPr>
      </w:pPr>
    </w:p>
    <w:p>
      <w:pPr>
        <w:pStyle w:val="2"/>
        <w:numPr>
          <w:ilvl w:val="0"/>
          <w:numId w:val="30"/>
        </w:numPr>
        <w:ind w:left="448" w:hanging="448"/>
        <w:rPr>
          <w:rFonts w:ascii="Times New Roman" w:hAnsi="Times New Roman"/>
          <w:sz w:val="30"/>
          <w:szCs w:val="30"/>
        </w:rPr>
      </w:pPr>
      <w:bookmarkStart w:id="35" w:name="_Toc21015053"/>
      <w:r>
        <w:rPr>
          <w:rFonts w:ascii="Times New Roman" w:hAnsi="Times New Roman"/>
          <w:sz w:val="30"/>
          <w:szCs w:val="30"/>
        </w:rPr>
        <w:t>ЦЕЛЕВЫЕ ПОКАЗАТЕЛИ РАЗВИТИЯ</w:t>
      </w:r>
      <w:r>
        <w:rPr>
          <w:rFonts w:ascii="Times New Roman" w:hAnsi="Times New Roman"/>
          <w:sz w:val="30"/>
          <w:szCs w:val="30"/>
        </w:rPr>
        <w:br w:type="textWrapping"/>
      </w:r>
      <w:r>
        <w:rPr>
          <w:rFonts w:ascii="Times New Roman" w:hAnsi="Times New Roman"/>
          <w:sz w:val="30"/>
          <w:szCs w:val="30"/>
        </w:rPr>
        <w:t>КОММУНАЛЬНОЙ ИНФРАСТРУКТУРЫ</w:t>
      </w:r>
      <w:bookmarkEnd w:id="35"/>
      <w:r>
        <w:rPr>
          <w:rFonts w:ascii="Times New Roman" w:hAnsi="Times New Roman"/>
          <w:sz w:val="30"/>
          <w:szCs w:val="30"/>
        </w:rPr>
        <w:t xml:space="preserve"> </w:t>
      </w:r>
    </w:p>
    <w:p>
      <w:pPr>
        <w:spacing w:line="360" w:lineRule="auto"/>
        <w:ind w:firstLine="567"/>
        <w:jc w:val="both"/>
        <w:rPr>
          <w:color w:val="000000"/>
          <w:sz w:val="28"/>
          <w:szCs w:val="28"/>
        </w:rPr>
      </w:pPr>
      <w:r>
        <w:rPr>
          <w:color w:val="000000"/>
          <w:sz w:val="28"/>
          <w:szCs w:val="28"/>
        </w:rPr>
        <w:t xml:space="preserve">Целевые показатели развития коммунальной инфраструктуры могут быть условно разделены на общие (важные с точки зрения развития муниципального образования в целом) и частные (важные с точки зрения развития отдельных коммунальных систем). Последние включают показатели спроса, эффективности производства, транспортировки и распределения энергоресурсов, качества предоставляемых коммунальных услуг и выбросов парниковых газов. Перечень показателей формируется по минимуму, чтобы не усложнять процесс мониторинга настоящей Программы. Значения целевых показателей были определены с учетом значений базового периода, принятых допущений, сроков реализации предлагаемых мероприятий и ресурсосберегающих эффектов. В качестве значений принимались удельные, долевые и абсолютные показатели в натуральном выражении, что обеспечивало сопоставимость во времени. </w:t>
      </w:r>
    </w:p>
    <w:p>
      <w:pPr>
        <w:pStyle w:val="3"/>
        <w:numPr>
          <w:ilvl w:val="1"/>
          <w:numId w:val="30"/>
        </w:numPr>
        <w:pBdr>
          <w:bottom w:val="single" w:color="auto" w:sz="12" w:space="0"/>
        </w:pBdr>
        <w:tabs>
          <w:tab w:val="left" w:pos="993"/>
        </w:tabs>
        <w:spacing w:before="0" w:after="200"/>
        <w:ind w:left="1134" w:hanging="567"/>
        <w:rPr>
          <w:rFonts w:ascii="Times New Roman" w:hAnsi="Times New Roman"/>
          <w:i w:val="0"/>
          <w:color w:val="000000"/>
          <w:sz w:val="30"/>
          <w:szCs w:val="30"/>
        </w:rPr>
      </w:pPr>
      <w:bookmarkStart w:id="36" w:name="_Toc21015054"/>
      <w:bookmarkStart w:id="37" w:name="_Toc347160213"/>
      <w:r>
        <w:rPr>
          <w:rFonts w:ascii="Times New Roman" w:hAnsi="Times New Roman"/>
          <w:i w:val="0"/>
          <w:color w:val="000000"/>
          <w:sz w:val="30"/>
          <w:szCs w:val="30"/>
        </w:rPr>
        <w:t>Общие целевые показатели развития муниципального образования</w:t>
      </w:r>
      <w:bookmarkEnd w:id="36"/>
      <w:r>
        <w:rPr>
          <w:rFonts w:ascii="Times New Roman" w:hAnsi="Times New Roman"/>
          <w:i w:val="0"/>
          <w:color w:val="000000"/>
          <w:sz w:val="30"/>
          <w:szCs w:val="30"/>
        </w:rPr>
        <w:t xml:space="preserve"> </w:t>
      </w:r>
    </w:p>
    <w:p>
      <w:pPr>
        <w:spacing w:line="360" w:lineRule="auto"/>
        <w:ind w:firstLine="567"/>
        <w:jc w:val="both"/>
        <w:rPr>
          <w:color w:val="000000"/>
          <w:sz w:val="28"/>
          <w:szCs w:val="28"/>
        </w:rPr>
      </w:pPr>
      <w:r>
        <w:rPr>
          <w:color w:val="000000"/>
          <w:sz w:val="28"/>
          <w:szCs w:val="28"/>
        </w:rPr>
        <w:t xml:space="preserve">Показатели экономической доступности коммунальных услуг для населения и бюджета в части оплаты (субсидии и социальная поддержка) за него подробно описаны и представлены в подразделе 10.3 и Приложении 1 к тому 2 «Обосновывающие материалы к Програмному документу». Показатели, характеризующие обеспеченность населения жилой площадью, объемы ввода жилых и общественных зданий, представлены в таблице 1-10 и Приложении 1 к тому 2 «Обосновывающие материалы к Программному документу». Остальные общие целевые показатели развития представлены в разделах 5.2-5.7 и Приложении 2 к тому 2 «Обосновывающие материалы к Программному документу».  </w:t>
      </w:r>
    </w:p>
    <w:p>
      <w:pPr>
        <w:pStyle w:val="3"/>
        <w:numPr>
          <w:ilvl w:val="1"/>
          <w:numId w:val="30"/>
        </w:numPr>
        <w:pBdr>
          <w:bottom w:val="single" w:color="auto" w:sz="12" w:space="0"/>
        </w:pBdr>
        <w:tabs>
          <w:tab w:val="left" w:pos="993"/>
        </w:tabs>
        <w:spacing w:before="0" w:after="200"/>
        <w:ind w:left="1134" w:hanging="567"/>
        <w:rPr>
          <w:rFonts w:ascii="Times New Roman" w:hAnsi="Times New Roman"/>
          <w:i w:val="0"/>
          <w:color w:val="000000"/>
          <w:sz w:val="30"/>
          <w:szCs w:val="30"/>
        </w:rPr>
      </w:pPr>
      <w:bookmarkStart w:id="38" w:name="_Toc21015055"/>
      <w:r>
        <w:rPr>
          <w:rFonts w:ascii="Times New Roman" w:hAnsi="Times New Roman"/>
          <w:i w:val="0"/>
          <w:color w:val="000000"/>
          <w:sz w:val="30"/>
          <w:szCs w:val="30"/>
        </w:rPr>
        <w:t xml:space="preserve">Целевые показатели развития системы </w:t>
      </w:r>
      <w:bookmarkEnd w:id="37"/>
      <w:r>
        <w:rPr>
          <w:rFonts w:ascii="Times New Roman" w:hAnsi="Times New Roman"/>
          <w:i w:val="0"/>
          <w:color w:val="000000"/>
          <w:sz w:val="30"/>
          <w:szCs w:val="30"/>
        </w:rPr>
        <w:t>теплоснабжения</w:t>
      </w:r>
      <w:bookmarkEnd w:id="38"/>
    </w:p>
    <w:p>
      <w:pPr>
        <w:spacing w:line="360" w:lineRule="auto"/>
        <w:ind w:firstLine="567"/>
        <w:jc w:val="both"/>
        <w:rPr>
          <w:color w:val="000000"/>
          <w:sz w:val="28"/>
          <w:szCs w:val="28"/>
        </w:rPr>
      </w:pPr>
      <w:r>
        <w:rPr>
          <w:color w:val="000000"/>
          <w:sz w:val="28"/>
          <w:szCs w:val="28"/>
        </w:rPr>
        <w:t xml:space="preserve">Перспективные показатели спроса на услуги теплоснабжения представлены в подразделе 2.1 и Приложении 2 к тому 2 «Обосновывающие материалы к Программному документу». Целевые показатели развития системы теплоснабжения представлены в таблице 4-1 и Приложении 4 к тому 2 «Обосновывающие материалы к Програмному документу». </w:t>
      </w:r>
    </w:p>
    <w:p>
      <w:pPr>
        <w:spacing w:line="312" w:lineRule="auto"/>
        <w:jc w:val="both"/>
        <w:rPr>
          <w:b/>
          <w:sz w:val="28"/>
          <w:szCs w:val="28"/>
        </w:rPr>
      </w:pPr>
      <w:r>
        <w:rPr>
          <w:b/>
          <w:sz w:val="28"/>
          <w:szCs w:val="28"/>
        </w:rPr>
        <w:t xml:space="preserve">Таблица 4-1. Целевые показатели развития системы теплоснабжения </w:t>
      </w:r>
    </w:p>
    <w:tbl>
      <w:tblPr>
        <w:tblStyle w:val="100"/>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41"/>
        <w:gridCol w:w="889"/>
        <w:gridCol w:w="890"/>
        <w:gridCol w:w="890"/>
        <w:gridCol w:w="890"/>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063" w:type="dxa"/>
            <w:vAlign w:val="center"/>
          </w:tcPr>
          <w:p>
            <w:pPr>
              <w:spacing w:before="20" w:after="20"/>
              <w:jc w:val="center"/>
              <w:rPr>
                <w:b/>
                <w:sz w:val="20"/>
                <w:szCs w:val="20"/>
              </w:rPr>
            </w:pPr>
            <w:r>
              <w:rPr>
                <w:b/>
                <w:sz w:val="20"/>
                <w:szCs w:val="20"/>
              </w:rPr>
              <w:t>Показатели</w:t>
            </w:r>
          </w:p>
        </w:tc>
        <w:tc>
          <w:tcPr>
            <w:tcW w:w="1041" w:type="dxa"/>
          </w:tcPr>
          <w:p>
            <w:pPr>
              <w:spacing w:before="20" w:after="20"/>
              <w:jc w:val="center"/>
              <w:rPr>
                <w:b/>
                <w:sz w:val="20"/>
                <w:szCs w:val="20"/>
              </w:rPr>
            </w:pPr>
            <w:r>
              <w:rPr>
                <w:b/>
                <w:sz w:val="20"/>
                <w:szCs w:val="20"/>
              </w:rPr>
              <w:t>Ед. изм</w:t>
            </w:r>
          </w:p>
        </w:tc>
        <w:tc>
          <w:tcPr>
            <w:tcW w:w="889" w:type="dxa"/>
            <w:vAlign w:val="center"/>
          </w:tcPr>
          <w:p>
            <w:pPr>
              <w:spacing w:before="20" w:after="20"/>
              <w:jc w:val="center"/>
              <w:rPr>
                <w:b/>
                <w:sz w:val="20"/>
                <w:szCs w:val="20"/>
                <w:lang w:val="en-US"/>
              </w:rPr>
            </w:pPr>
            <w:r>
              <w:rPr>
                <w:b/>
                <w:sz w:val="20"/>
                <w:szCs w:val="20"/>
              </w:rPr>
              <w:t>201</w:t>
            </w:r>
            <w:r>
              <w:rPr>
                <w:b/>
                <w:sz w:val="20"/>
                <w:szCs w:val="20"/>
                <w:lang w:val="en-US"/>
              </w:rPr>
              <w:t>8</w:t>
            </w:r>
          </w:p>
        </w:tc>
        <w:tc>
          <w:tcPr>
            <w:tcW w:w="890" w:type="dxa"/>
            <w:vAlign w:val="center"/>
          </w:tcPr>
          <w:p>
            <w:pPr>
              <w:spacing w:before="20" w:after="20"/>
              <w:jc w:val="center"/>
              <w:rPr>
                <w:b/>
                <w:sz w:val="20"/>
                <w:szCs w:val="20"/>
              </w:rPr>
            </w:pPr>
            <w:r>
              <w:rPr>
                <w:b/>
                <w:sz w:val="20"/>
                <w:szCs w:val="20"/>
              </w:rPr>
              <w:t>2019</w:t>
            </w:r>
          </w:p>
        </w:tc>
        <w:tc>
          <w:tcPr>
            <w:tcW w:w="890" w:type="dxa"/>
            <w:vAlign w:val="center"/>
          </w:tcPr>
          <w:p>
            <w:pPr>
              <w:spacing w:before="20" w:after="20"/>
              <w:jc w:val="center"/>
              <w:rPr>
                <w:b/>
                <w:sz w:val="20"/>
                <w:szCs w:val="20"/>
              </w:rPr>
            </w:pPr>
            <w:r>
              <w:rPr>
                <w:b/>
                <w:sz w:val="20"/>
                <w:szCs w:val="20"/>
              </w:rPr>
              <w:t>2027</w:t>
            </w:r>
          </w:p>
        </w:tc>
        <w:tc>
          <w:tcPr>
            <w:tcW w:w="890" w:type="dxa"/>
            <w:vAlign w:val="center"/>
          </w:tcPr>
          <w:p>
            <w:pPr>
              <w:spacing w:before="20" w:after="20"/>
              <w:jc w:val="center"/>
              <w:rPr>
                <w:b/>
                <w:sz w:val="20"/>
                <w:szCs w:val="20"/>
              </w:rPr>
            </w:pPr>
            <w:r>
              <w:rPr>
                <w:b/>
                <w:sz w:val="20"/>
                <w:szCs w:val="20"/>
              </w:rPr>
              <w:t>2029</w:t>
            </w:r>
          </w:p>
        </w:tc>
        <w:tc>
          <w:tcPr>
            <w:tcW w:w="2409"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3" w:type="dxa"/>
            <w:vAlign w:val="center"/>
          </w:tcPr>
          <w:p>
            <w:pPr>
              <w:spacing w:before="20" w:after="20"/>
              <w:rPr>
                <w:sz w:val="20"/>
                <w:szCs w:val="20"/>
              </w:rPr>
            </w:pPr>
            <w:r>
              <w:rPr>
                <w:sz w:val="20"/>
                <w:szCs w:val="20"/>
              </w:rPr>
              <w:t xml:space="preserve">Доля потерь </w:t>
            </w:r>
          </w:p>
          <w:p>
            <w:pPr>
              <w:spacing w:before="20" w:after="20"/>
              <w:rPr>
                <w:sz w:val="20"/>
                <w:szCs w:val="20"/>
              </w:rPr>
            </w:pPr>
            <w:r>
              <w:rPr>
                <w:sz w:val="20"/>
                <w:szCs w:val="20"/>
              </w:rPr>
              <w:t>тепловой энергии в сетях</w:t>
            </w:r>
          </w:p>
        </w:tc>
        <w:tc>
          <w:tcPr>
            <w:tcW w:w="1041" w:type="dxa"/>
            <w:vAlign w:val="center"/>
          </w:tcPr>
          <w:p>
            <w:pPr>
              <w:spacing w:before="20" w:after="20"/>
              <w:jc w:val="center"/>
              <w:rPr>
                <w:sz w:val="20"/>
                <w:szCs w:val="20"/>
              </w:rPr>
            </w:pPr>
            <w:r>
              <w:rPr>
                <w:sz w:val="20"/>
                <w:szCs w:val="20"/>
              </w:rPr>
              <w:t>%</w:t>
            </w:r>
          </w:p>
        </w:tc>
        <w:tc>
          <w:tcPr>
            <w:tcW w:w="889" w:type="dxa"/>
            <w:vAlign w:val="center"/>
          </w:tcPr>
          <w:p>
            <w:pPr>
              <w:jc w:val="center"/>
              <w:rPr>
                <w:color w:val="000000"/>
                <w:sz w:val="22"/>
                <w:szCs w:val="22"/>
              </w:rPr>
            </w:pPr>
            <w:r>
              <w:rPr>
                <w:color w:val="000000"/>
                <w:sz w:val="22"/>
                <w:szCs w:val="22"/>
              </w:rPr>
              <w:t>6,80</w:t>
            </w:r>
          </w:p>
        </w:tc>
        <w:tc>
          <w:tcPr>
            <w:tcW w:w="890" w:type="dxa"/>
            <w:vAlign w:val="center"/>
          </w:tcPr>
          <w:p>
            <w:pPr>
              <w:jc w:val="center"/>
              <w:rPr>
                <w:color w:val="000000"/>
                <w:sz w:val="22"/>
                <w:szCs w:val="22"/>
              </w:rPr>
            </w:pPr>
            <w:r>
              <w:rPr>
                <w:color w:val="000000"/>
                <w:sz w:val="22"/>
                <w:szCs w:val="22"/>
              </w:rPr>
              <w:t>6,70</w:t>
            </w:r>
          </w:p>
        </w:tc>
        <w:tc>
          <w:tcPr>
            <w:tcW w:w="890" w:type="dxa"/>
            <w:vAlign w:val="center"/>
          </w:tcPr>
          <w:p>
            <w:pPr>
              <w:jc w:val="center"/>
              <w:rPr>
                <w:color w:val="000000"/>
                <w:sz w:val="22"/>
                <w:szCs w:val="22"/>
              </w:rPr>
            </w:pPr>
            <w:r>
              <w:rPr>
                <w:color w:val="000000"/>
                <w:sz w:val="22"/>
                <w:szCs w:val="22"/>
              </w:rPr>
              <w:t>5,54</w:t>
            </w:r>
          </w:p>
        </w:tc>
        <w:tc>
          <w:tcPr>
            <w:tcW w:w="890" w:type="dxa"/>
            <w:vAlign w:val="center"/>
          </w:tcPr>
          <w:p>
            <w:pPr>
              <w:jc w:val="center"/>
              <w:rPr>
                <w:color w:val="000000"/>
                <w:sz w:val="22"/>
                <w:szCs w:val="22"/>
              </w:rPr>
            </w:pPr>
            <w:r>
              <w:rPr>
                <w:color w:val="000000"/>
                <w:sz w:val="22"/>
                <w:szCs w:val="22"/>
              </w:rPr>
              <w:t>5,34</w:t>
            </w:r>
          </w:p>
        </w:tc>
        <w:tc>
          <w:tcPr>
            <w:tcW w:w="2409" w:type="dxa"/>
            <w:vAlign w:val="center"/>
          </w:tcPr>
          <w:p>
            <w:pPr>
              <w:spacing w:before="20" w:after="20"/>
              <w:rPr>
                <w:sz w:val="20"/>
                <w:szCs w:val="20"/>
              </w:rPr>
            </w:pPr>
            <w:r>
              <w:rPr>
                <w:sz w:val="20"/>
                <w:szCs w:val="20"/>
              </w:rPr>
              <w:t xml:space="preserve">Расчет Комитета ЖКХ по статистической форме 1-ТЕП.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3" w:type="dxa"/>
            <w:vAlign w:val="center"/>
          </w:tcPr>
          <w:p>
            <w:pPr>
              <w:spacing w:before="20" w:after="20"/>
              <w:rPr>
                <w:sz w:val="20"/>
                <w:szCs w:val="20"/>
              </w:rPr>
            </w:pPr>
            <w:r>
              <w:rPr>
                <w:sz w:val="20"/>
                <w:szCs w:val="20"/>
              </w:rPr>
              <w:t xml:space="preserve">Удельный расход топлива на производство тепловой энергии </w:t>
            </w:r>
          </w:p>
        </w:tc>
        <w:tc>
          <w:tcPr>
            <w:tcW w:w="1041" w:type="dxa"/>
            <w:vAlign w:val="center"/>
          </w:tcPr>
          <w:p>
            <w:pPr>
              <w:spacing w:before="20" w:after="20"/>
              <w:jc w:val="center"/>
              <w:rPr>
                <w:sz w:val="20"/>
                <w:szCs w:val="20"/>
              </w:rPr>
            </w:pPr>
            <w:r>
              <w:rPr>
                <w:sz w:val="20"/>
                <w:szCs w:val="20"/>
              </w:rPr>
              <w:t>кгут/Гкал</w:t>
            </w:r>
          </w:p>
        </w:tc>
        <w:tc>
          <w:tcPr>
            <w:tcW w:w="889" w:type="dxa"/>
            <w:vAlign w:val="center"/>
          </w:tcPr>
          <w:p>
            <w:pPr>
              <w:jc w:val="center"/>
              <w:rPr>
                <w:color w:val="000000"/>
                <w:sz w:val="22"/>
                <w:szCs w:val="22"/>
              </w:rPr>
            </w:pPr>
            <w:r>
              <w:rPr>
                <w:color w:val="000000"/>
                <w:sz w:val="22"/>
                <w:szCs w:val="22"/>
              </w:rPr>
              <w:t>164,9</w:t>
            </w:r>
          </w:p>
        </w:tc>
        <w:tc>
          <w:tcPr>
            <w:tcW w:w="890" w:type="dxa"/>
            <w:vAlign w:val="center"/>
          </w:tcPr>
          <w:p>
            <w:pPr>
              <w:jc w:val="center"/>
              <w:rPr>
                <w:color w:val="000000"/>
                <w:sz w:val="22"/>
                <w:szCs w:val="22"/>
              </w:rPr>
            </w:pPr>
            <w:r>
              <w:rPr>
                <w:color w:val="000000"/>
                <w:sz w:val="22"/>
                <w:szCs w:val="22"/>
              </w:rPr>
              <w:t>163,2</w:t>
            </w:r>
          </w:p>
        </w:tc>
        <w:tc>
          <w:tcPr>
            <w:tcW w:w="890" w:type="dxa"/>
            <w:vAlign w:val="center"/>
          </w:tcPr>
          <w:p>
            <w:pPr>
              <w:jc w:val="center"/>
              <w:rPr>
                <w:color w:val="000000"/>
                <w:sz w:val="22"/>
                <w:szCs w:val="22"/>
              </w:rPr>
            </w:pPr>
            <w:r>
              <w:rPr>
                <w:color w:val="000000"/>
                <w:sz w:val="22"/>
                <w:szCs w:val="22"/>
              </w:rPr>
              <w:t>155,2</w:t>
            </w:r>
          </w:p>
        </w:tc>
        <w:tc>
          <w:tcPr>
            <w:tcW w:w="890" w:type="dxa"/>
            <w:vAlign w:val="center"/>
          </w:tcPr>
          <w:p>
            <w:pPr>
              <w:jc w:val="center"/>
              <w:rPr>
                <w:color w:val="000000"/>
                <w:sz w:val="22"/>
                <w:szCs w:val="22"/>
              </w:rPr>
            </w:pPr>
            <w:r>
              <w:rPr>
                <w:color w:val="000000"/>
                <w:sz w:val="22"/>
                <w:szCs w:val="22"/>
              </w:rPr>
              <w:t>155,2</w:t>
            </w:r>
          </w:p>
        </w:tc>
        <w:tc>
          <w:tcPr>
            <w:tcW w:w="2409" w:type="dxa"/>
            <w:vAlign w:val="center"/>
          </w:tcPr>
          <w:p>
            <w:pPr>
              <w:spacing w:before="20" w:after="20"/>
              <w:rPr>
                <w:sz w:val="20"/>
                <w:szCs w:val="20"/>
              </w:rPr>
            </w:pPr>
            <w:r>
              <w:rPr>
                <w:sz w:val="20"/>
                <w:szCs w:val="20"/>
              </w:rPr>
              <w:t xml:space="preserve">Расчет Комитета ЖКХ по статистической форме 1-ТЕП.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3" w:type="dxa"/>
            <w:vAlign w:val="center"/>
          </w:tcPr>
          <w:p>
            <w:pPr>
              <w:spacing w:before="20" w:after="20"/>
              <w:rPr>
                <w:sz w:val="20"/>
                <w:szCs w:val="20"/>
              </w:rPr>
            </w:pPr>
            <w:r>
              <w:rPr>
                <w:sz w:val="20"/>
                <w:szCs w:val="20"/>
              </w:rPr>
              <w:t>Доля отпуска тепловой энергии на отопление, счета за которую выставлены по приборам учета</w:t>
            </w:r>
          </w:p>
        </w:tc>
        <w:tc>
          <w:tcPr>
            <w:tcW w:w="1041" w:type="dxa"/>
            <w:vAlign w:val="center"/>
          </w:tcPr>
          <w:p>
            <w:pPr>
              <w:spacing w:before="20" w:after="20"/>
              <w:jc w:val="center"/>
              <w:rPr>
                <w:sz w:val="20"/>
                <w:szCs w:val="20"/>
              </w:rPr>
            </w:pPr>
            <w:r>
              <w:rPr>
                <w:sz w:val="20"/>
                <w:szCs w:val="20"/>
              </w:rPr>
              <w:t>%</w:t>
            </w:r>
          </w:p>
        </w:tc>
        <w:tc>
          <w:tcPr>
            <w:tcW w:w="889" w:type="dxa"/>
            <w:vAlign w:val="center"/>
          </w:tcPr>
          <w:p>
            <w:pPr>
              <w:jc w:val="center"/>
              <w:rPr>
                <w:color w:val="000000"/>
                <w:sz w:val="22"/>
                <w:szCs w:val="22"/>
              </w:rPr>
            </w:pPr>
            <w:r>
              <w:rPr>
                <w:color w:val="000000"/>
                <w:sz w:val="22"/>
                <w:szCs w:val="22"/>
              </w:rPr>
              <w:t>34</w:t>
            </w:r>
          </w:p>
        </w:tc>
        <w:tc>
          <w:tcPr>
            <w:tcW w:w="890" w:type="dxa"/>
            <w:vAlign w:val="center"/>
          </w:tcPr>
          <w:p>
            <w:pPr>
              <w:jc w:val="center"/>
              <w:rPr>
                <w:color w:val="000000"/>
                <w:sz w:val="22"/>
                <w:szCs w:val="22"/>
              </w:rPr>
            </w:pPr>
            <w:r>
              <w:rPr>
                <w:color w:val="000000"/>
                <w:sz w:val="22"/>
                <w:szCs w:val="22"/>
              </w:rPr>
              <w:t>34</w:t>
            </w:r>
          </w:p>
        </w:tc>
        <w:tc>
          <w:tcPr>
            <w:tcW w:w="890" w:type="dxa"/>
            <w:vAlign w:val="center"/>
          </w:tcPr>
          <w:p>
            <w:pPr>
              <w:jc w:val="center"/>
              <w:rPr>
                <w:color w:val="000000"/>
                <w:sz w:val="22"/>
                <w:szCs w:val="22"/>
              </w:rPr>
            </w:pPr>
            <w:r>
              <w:rPr>
                <w:color w:val="000000"/>
                <w:sz w:val="22"/>
                <w:szCs w:val="22"/>
              </w:rPr>
              <w:t>42</w:t>
            </w:r>
          </w:p>
        </w:tc>
        <w:tc>
          <w:tcPr>
            <w:tcW w:w="890" w:type="dxa"/>
            <w:vAlign w:val="center"/>
          </w:tcPr>
          <w:p>
            <w:pPr>
              <w:jc w:val="center"/>
              <w:rPr>
                <w:color w:val="000000"/>
                <w:sz w:val="22"/>
                <w:szCs w:val="22"/>
              </w:rPr>
            </w:pPr>
            <w:r>
              <w:rPr>
                <w:color w:val="000000"/>
                <w:sz w:val="22"/>
                <w:szCs w:val="22"/>
              </w:rPr>
              <w:t>45</w:t>
            </w:r>
          </w:p>
        </w:tc>
        <w:tc>
          <w:tcPr>
            <w:tcW w:w="2409" w:type="dxa"/>
            <w:vAlign w:val="center"/>
          </w:tcPr>
          <w:p>
            <w:pPr>
              <w:spacing w:before="20" w:after="20"/>
              <w:rPr>
                <w:sz w:val="20"/>
                <w:szCs w:val="20"/>
              </w:rPr>
            </w:pPr>
            <w:r>
              <w:rPr>
                <w:sz w:val="20"/>
                <w:szCs w:val="20"/>
              </w:rPr>
              <w:t xml:space="preserve">Данные Комитета ЖКХ по форме 22-ЖКХ (реформа).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3" w:type="dxa"/>
            <w:vAlign w:val="center"/>
          </w:tcPr>
          <w:p>
            <w:pPr>
              <w:spacing w:before="20" w:after="20"/>
              <w:rPr>
                <w:sz w:val="20"/>
                <w:szCs w:val="20"/>
              </w:rPr>
            </w:pPr>
            <w:r>
              <w:rPr>
                <w:sz w:val="20"/>
                <w:szCs w:val="20"/>
              </w:rPr>
              <w:t>Доля отпуска тепловой энергии на ГВС, счета за которую выставлены по приборам учета</w:t>
            </w:r>
          </w:p>
        </w:tc>
        <w:tc>
          <w:tcPr>
            <w:tcW w:w="1041" w:type="dxa"/>
            <w:tcBorders>
              <w:bottom w:val="single" w:color="auto" w:sz="4" w:space="0"/>
            </w:tcBorders>
            <w:vAlign w:val="center"/>
          </w:tcPr>
          <w:p>
            <w:pPr>
              <w:spacing w:before="20" w:after="20"/>
              <w:jc w:val="center"/>
              <w:rPr>
                <w:sz w:val="20"/>
                <w:szCs w:val="20"/>
              </w:rPr>
            </w:pPr>
            <w:r>
              <w:rPr>
                <w:sz w:val="20"/>
                <w:szCs w:val="20"/>
              </w:rPr>
              <w:t>%</w:t>
            </w:r>
          </w:p>
        </w:tc>
        <w:tc>
          <w:tcPr>
            <w:tcW w:w="889" w:type="dxa"/>
            <w:tcBorders>
              <w:bottom w:val="single" w:color="auto" w:sz="4" w:space="0"/>
            </w:tcBorders>
            <w:vAlign w:val="center"/>
          </w:tcPr>
          <w:p>
            <w:pPr>
              <w:jc w:val="center"/>
              <w:rPr>
                <w:color w:val="000000"/>
                <w:sz w:val="22"/>
                <w:szCs w:val="22"/>
              </w:rPr>
            </w:pPr>
            <w:r>
              <w:rPr>
                <w:color w:val="000000"/>
                <w:sz w:val="22"/>
                <w:szCs w:val="22"/>
              </w:rPr>
              <w:t>21</w:t>
            </w:r>
          </w:p>
        </w:tc>
        <w:tc>
          <w:tcPr>
            <w:tcW w:w="890" w:type="dxa"/>
            <w:tcBorders>
              <w:bottom w:val="single" w:color="auto" w:sz="4" w:space="0"/>
            </w:tcBorders>
            <w:vAlign w:val="center"/>
          </w:tcPr>
          <w:p>
            <w:pPr>
              <w:jc w:val="center"/>
              <w:rPr>
                <w:color w:val="000000"/>
                <w:sz w:val="22"/>
                <w:szCs w:val="22"/>
              </w:rPr>
            </w:pPr>
            <w:r>
              <w:rPr>
                <w:color w:val="000000"/>
                <w:sz w:val="22"/>
                <w:szCs w:val="22"/>
              </w:rPr>
              <w:t>21</w:t>
            </w:r>
          </w:p>
        </w:tc>
        <w:tc>
          <w:tcPr>
            <w:tcW w:w="890" w:type="dxa"/>
            <w:tcBorders>
              <w:bottom w:val="single" w:color="auto" w:sz="4" w:space="0"/>
            </w:tcBorders>
            <w:vAlign w:val="center"/>
          </w:tcPr>
          <w:p>
            <w:pPr>
              <w:jc w:val="center"/>
              <w:rPr>
                <w:color w:val="000000"/>
                <w:sz w:val="22"/>
                <w:szCs w:val="22"/>
              </w:rPr>
            </w:pPr>
            <w:r>
              <w:rPr>
                <w:color w:val="000000"/>
                <w:sz w:val="22"/>
                <w:szCs w:val="22"/>
              </w:rPr>
              <w:t>29</w:t>
            </w:r>
          </w:p>
        </w:tc>
        <w:tc>
          <w:tcPr>
            <w:tcW w:w="890" w:type="dxa"/>
            <w:tcBorders>
              <w:bottom w:val="single" w:color="auto" w:sz="4" w:space="0"/>
            </w:tcBorders>
            <w:vAlign w:val="center"/>
          </w:tcPr>
          <w:p>
            <w:pPr>
              <w:jc w:val="center"/>
              <w:rPr>
                <w:color w:val="000000"/>
                <w:sz w:val="22"/>
                <w:szCs w:val="22"/>
              </w:rPr>
            </w:pPr>
            <w:r>
              <w:rPr>
                <w:color w:val="000000"/>
                <w:sz w:val="22"/>
                <w:szCs w:val="22"/>
              </w:rPr>
              <w:t>32</w:t>
            </w:r>
          </w:p>
        </w:tc>
        <w:tc>
          <w:tcPr>
            <w:tcW w:w="2409" w:type="dxa"/>
            <w:tcBorders>
              <w:bottom w:val="single" w:color="auto" w:sz="4" w:space="0"/>
            </w:tcBorders>
            <w:vAlign w:val="center"/>
          </w:tcPr>
          <w:p>
            <w:pPr>
              <w:spacing w:before="20" w:after="20"/>
              <w:rPr>
                <w:sz w:val="20"/>
                <w:szCs w:val="20"/>
              </w:rPr>
            </w:pPr>
            <w:r>
              <w:rPr>
                <w:sz w:val="20"/>
                <w:szCs w:val="20"/>
              </w:rPr>
              <w:t xml:space="preserve">Данные Комитета ЖКХ по форме 22-ЖКХ (реформа). </w:t>
            </w:r>
          </w:p>
        </w:tc>
      </w:tr>
    </w:tbl>
    <w:p>
      <w:pPr>
        <w:spacing w:before="120" w:after="120"/>
        <w:rPr>
          <w:sz w:val="20"/>
          <w:szCs w:val="20"/>
        </w:rPr>
      </w:pPr>
      <w:r>
        <w:rPr>
          <w:sz w:val="20"/>
          <w:szCs w:val="20"/>
        </w:rPr>
        <w:t xml:space="preserve">Источник: данные теплоснабжающих компаний и оценки ООО «ЦТЭС». </w:t>
      </w:r>
    </w:p>
    <w:p>
      <w:pPr>
        <w:pStyle w:val="3"/>
        <w:numPr>
          <w:ilvl w:val="1"/>
          <w:numId w:val="30"/>
        </w:numPr>
        <w:pBdr>
          <w:bottom w:val="single" w:color="auto" w:sz="12" w:space="0"/>
        </w:pBdr>
        <w:tabs>
          <w:tab w:val="left" w:pos="993"/>
        </w:tabs>
        <w:spacing w:before="120" w:after="200"/>
        <w:ind w:left="1134" w:hanging="567"/>
        <w:rPr>
          <w:rFonts w:ascii="Times New Roman" w:hAnsi="Times New Roman"/>
          <w:i w:val="0"/>
          <w:color w:val="000000"/>
          <w:sz w:val="30"/>
          <w:szCs w:val="30"/>
        </w:rPr>
      </w:pPr>
      <w:bookmarkStart w:id="39" w:name="_Toc21015056"/>
      <w:r>
        <w:rPr>
          <w:rFonts w:ascii="Times New Roman" w:hAnsi="Times New Roman"/>
          <w:i w:val="0"/>
          <w:color w:val="000000"/>
          <w:sz w:val="30"/>
          <w:szCs w:val="30"/>
        </w:rPr>
        <w:t>Целевые показатели развития системы водоснабжения</w:t>
      </w:r>
      <w:bookmarkEnd w:id="39"/>
    </w:p>
    <w:p>
      <w:pPr>
        <w:spacing w:line="360" w:lineRule="auto"/>
        <w:ind w:firstLine="709"/>
        <w:jc w:val="both"/>
        <w:rPr>
          <w:color w:val="000000"/>
          <w:sz w:val="28"/>
          <w:szCs w:val="28"/>
        </w:rPr>
      </w:pPr>
      <w:r>
        <w:rPr>
          <w:color w:val="000000"/>
          <w:sz w:val="28"/>
          <w:szCs w:val="28"/>
        </w:rPr>
        <w:t xml:space="preserve">Перспективные показатели спроса на услуги водоснабжения представлены в подразделе 2.2 и Приложении 3 к тому 2 «Обосновывающие материалы к Програмному документу». Целевые показатели развития системы водоснабжения представлены в таблице 4-2 и Приложении 4 к тому 2 «Обосновывающие материалы к Програмному документу». </w:t>
      </w:r>
    </w:p>
    <w:p>
      <w:pPr>
        <w:spacing w:line="312" w:lineRule="auto"/>
        <w:jc w:val="both"/>
        <w:rPr>
          <w:b/>
          <w:sz w:val="28"/>
          <w:szCs w:val="28"/>
        </w:rPr>
      </w:pPr>
      <w:r>
        <w:rPr>
          <w:b/>
          <w:sz w:val="28"/>
          <w:szCs w:val="28"/>
        </w:rPr>
        <w:t xml:space="preserve">Таблица 4-2. Целевые показатели развития системы водоснабжения </w:t>
      </w:r>
    </w:p>
    <w:tbl>
      <w:tblPr>
        <w:tblStyle w:val="100"/>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134"/>
        <w:gridCol w:w="873"/>
        <w:gridCol w:w="874"/>
        <w:gridCol w:w="873"/>
        <w:gridCol w:w="874"/>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985" w:type="dxa"/>
            <w:vAlign w:val="center"/>
          </w:tcPr>
          <w:p>
            <w:pPr>
              <w:spacing w:before="20" w:after="20"/>
              <w:jc w:val="center"/>
              <w:rPr>
                <w:b/>
                <w:sz w:val="20"/>
                <w:szCs w:val="20"/>
              </w:rPr>
            </w:pPr>
            <w:r>
              <w:rPr>
                <w:b/>
                <w:sz w:val="20"/>
                <w:szCs w:val="20"/>
              </w:rPr>
              <w:t>Показатели</w:t>
            </w:r>
          </w:p>
        </w:tc>
        <w:tc>
          <w:tcPr>
            <w:tcW w:w="1134" w:type="dxa"/>
          </w:tcPr>
          <w:p>
            <w:pPr>
              <w:spacing w:before="20" w:after="20"/>
              <w:jc w:val="center"/>
              <w:rPr>
                <w:b/>
                <w:sz w:val="20"/>
                <w:szCs w:val="20"/>
              </w:rPr>
            </w:pPr>
            <w:r>
              <w:rPr>
                <w:b/>
                <w:sz w:val="20"/>
                <w:szCs w:val="20"/>
              </w:rPr>
              <w:t>Ед. изм</w:t>
            </w:r>
          </w:p>
        </w:tc>
        <w:tc>
          <w:tcPr>
            <w:tcW w:w="873" w:type="dxa"/>
            <w:vAlign w:val="center"/>
          </w:tcPr>
          <w:p>
            <w:pPr>
              <w:spacing w:before="20" w:after="20"/>
              <w:jc w:val="center"/>
              <w:rPr>
                <w:b/>
                <w:sz w:val="20"/>
                <w:szCs w:val="20"/>
              </w:rPr>
            </w:pPr>
            <w:r>
              <w:rPr>
                <w:b/>
                <w:sz w:val="20"/>
                <w:szCs w:val="20"/>
              </w:rPr>
              <w:t>2018</w:t>
            </w:r>
          </w:p>
        </w:tc>
        <w:tc>
          <w:tcPr>
            <w:tcW w:w="874" w:type="dxa"/>
            <w:vAlign w:val="center"/>
          </w:tcPr>
          <w:p>
            <w:pPr>
              <w:spacing w:before="20" w:after="20"/>
              <w:jc w:val="center"/>
              <w:rPr>
                <w:b/>
                <w:sz w:val="20"/>
                <w:szCs w:val="20"/>
              </w:rPr>
            </w:pPr>
            <w:r>
              <w:rPr>
                <w:b/>
                <w:sz w:val="20"/>
                <w:szCs w:val="20"/>
              </w:rPr>
              <w:t>2019</w:t>
            </w:r>
          </w:p>
        </w:tc>
        <w:tc>
          <w:tcPr>
            <w:tcW w:w="873" w:type="dxa"/>
            <w:vAlign w:val="center"/>
          </w:tcPr>
          <w:p>
            <w:pPr>
              <w:spacing w:before="20" w:after="20"/>
              <w:jc w:val="center"/>
              <w:rPr>
                <w:b/>
                <w:sz w:val="20"/>
                <w:szCs w:val="20"/>
              </w:rPr>
            </w:pPr>
            <w:r>
              <w:rPr>
                <w:b/>
                <w:sz w:val="20"/>
                <w:szCs w:val="20"/>
              </w:rPr>
              <w:t>2027</w:t>
            </w:r>
          </w:p>
        </w:tc>
        <w:tc>
          <w:tcPr>
            <w:tcW w:w="874" w:type="dxa"/>
            <w:vAlign w:val="center"/>
          </w:tcPr>
          <w:p>
            <w:pPr>
              <w:spacing w:before="20" w:after="20"/>
              <w:jc w:val="center"/>
              <w:rPr>
                <w:b/>
                <w:sz w:val="20"/>
                <w:szCs w:val="20"/>
              </w:rPr>
            </w:pPr>
            <w:r>
              <w:rPr>
                <w:b/>
                <w:sz w:val="20"/>
                <w:szCs w:val="20"/>
              </w:rPr>
              <w:t>2029</w:t>
            </w:r>
          </w:p>
        </w:tc>
        <w:tc>
          <w:tcPr>
            <w:tcW w:w="2459"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Количество аварий в сетях водоснабжения</w:t>
            </w:r>
          </w:p>
        </w:tc>
        <w:tc>
          <w:tcPr>
            <w:tcW w:w="1134" w:type="dxa"/>
            <w:vAlign w:val="center"/>
          </w:tcPr>
          <w:p>
            <w:pPr>
              <w:spacing w:before="20" w:after="20"/>
              <w:jc w:val="center"/>
              <w:rPr>
                <w:sz w:val="20"/>
                <w:szCs w:val="20"/>
              </w:rPr>
            </w:pPr>
            <w:r>
              <w:rPr>
                <w:sz w:val="20"/>
                <w:szCs w:val="20"/>
              </w:rPr>
              <w:t>ед./км</w:t>
            </w:r>
          </w:p>
        </w:tc>
        <w:tc>
          <w:tcPr>
            <w:tcW w:w="873" w:type="dxa"/>
            <w:vAlign w:val="center"/>
          </w:tcPr>
          <w:p>
            <w:pPr>
              <w:jc w:val="center"/>
              <w:rPr>
                <w:color w:val="000000"/>
                <w:sz w:val="20"/>
                <w:szCs w:val="20"/>
              </w:rPr>
            </w:pPr>
            <w:r>
              <w:rPr>
                <w:color w:val="000000"/>
                <w:sz w:val="20"/>
                <w:szCs w:val="20"/>
              </w:rPr>
              <w:t>0,6</w:t>
            </w:r>
          </w:p>
        </w:tc>
        <w:tc>
          <w:tcPr>
            <w:tcW w:w="874" w:type="dxa"/>
            <w:vAlign w:val="center"/>
          </w:tcPr>
          <w:p>
            <w:pPr>
              <w:jc w:val="center"/>
              <w:rPr>
                <w:color w:val="000000"/>
                <w:sz w:val="20"/>
                <w:szCs w:val="20"/>
              </w:rPr>
            </w:pPr>
            <w:r>
              <w:rPr>
                <w:color w:val="000000"/>
                <w:sz w:val="20"/>
                <w:szCs w:val="20"/>
              </w:rPr>
              <w:t>0,54</w:t>
            </w:r>
          </w:p>
        </w:tc>
        <w:tc>
          <w:tcPr>
            <w:tcW w:w="873" w:type="dxa"/>
            <w:vAlign w:val="center"/>
          </w:tcPr>
          <w:p>
            <w:pPr>
              <w:spacing w:before="20" w:after="20"/>
              <w:jc w:val="center"/>
              <w:rPr>
                <w:sz w:val="20"/>
                <w:szCs w:val="20"/>
                <w:lang w:val="en-US"/>
              </w:rPr>
            </w:pPr>
            <w:r>
              <w:rPr>
                <w:sz w:val="20"/>
                <w:szCs w:val="20"/>
                <w:lang w:val="en-US"/>
              </w:rPr>
              <w:t>0,28</w:t>
            </w:r>
          </w:p>
        </w:tc>
        <w:tc>
          <w:tcPr>
            <w:tcW w:w="874" w:type="dxa"/>
            <w:vAlign w:val="center"/>
          </w:tcPr>
          <w:p>
            <w:pPr>
              <w:spacing w:before="20" w:after="20"/>
              <w:jc w:val="center"/>
              <w:rPr>
                <w:sz w:val="20"/>
                <w:szCs w:val="20"/>
                <w:lang w:val="en-US"/>
              </w:rPr>
            </w:pPr>
            <w:r>
              <w:rPr>
                <w:sz w:val="20"/>
                <w:szCs w:val="20"/>
                <w:lang w:val="en-US"/>
              </w:rPr>
              <w:t>0,21</w:t>
            </w:r>
          </w:p>
        </w:tc>
        <w:tc>
          <w:tcPr>
            <w:tcW w:w="2459" w:type="dxa"/>
            <w:vAlign w:val="center"/>
          </w:tcPr>
          <w:p>
            <w:pPr>
              <w:spacing w:before="20" w:after="20"/>
              <w:rPr>
                <w:sz w:val="20"/>
                <w:szCs w:val="20"/>
              </w:rPr>
            </w:pPr>
            <w:r>
              <w:rPr>
                <w:sz w:val="20"/>
                <w:szCs w:val="20"/>
              </w:rPr>
              <w:t>Расчет Комитета ЖКХ по данным статистической формы 1-водопровод.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Удельный расход электроэнергии на подъем и транспортировку воды</w:t>
            </w:r>
          </w:p>
        </w:tc>
        <w:tc>
          <w:tcPr>
            <w:tcW w:w="1134" w:type="dxa"/>
            <w:vAlign w:val="center"/>
          </w:tcPr>
          <w:p>
            <w:pPr>
              <w:spacing w:before="20" w:after="20"/>
              <w:jc w:val="center"/>
              <w:rPr>
                <w:sz w:val="20"/>
                <w:szCs w:val="20"/>
                <w:vertAlign w:val="superscript"/>
              </w:rPr>
            </w:pPr>
            <w:r>
              <w:rPr>
                <w:sz w:val="20"/>
                <w:szCs w:val="20"/>
              </w:rPr>
              <w:t>кВт*ч/м</w:t>
            </w:r>
            <w:r>
              <w:rPr>
                <w:sz w:val="20"/>
                <w:szCs w:val="20"/>
                <w:vertAlign w:val="superscript"/>
              </w:rPr>
              <w:t>3</w:t>
            </w:r>
          </w:p>
        </w:tc>
        <w:tc>
          <w:tcPr>
            <w:tcW w:w="873" w:type="dxa"/>
            <w:vAlign w:val="center"/>
          </w:tcPr>
          <w:p>
            <w:pPr>
              <w:jc w:val="center"/>
              <w:rPr>
                <w:color w:val="000000"/>
                <w:sz w:val="20"/>
                <w:szCs w:val="20"/>
              </w:rPr>
            </w:pPr>
            <w:r>
              <w:rPr>
                <w:color w:val="000000"/>
                <w:sz w:val="20"/>
                <w:szCs w:val="20"/>
              </w:rPr>
              <w:t>0,294</w:t>
            </w:r>
          </w:p>
        </w:tc>
        <w:tc>
          <w:tcPr>
            <w:tcW w:w="874" w:type="dxa"/>
            <w:vAlign w:val="center"/>
          </w:tcPr>
          <w:p>
            <w:pPr>
              <w:jc w:val="center"/>
              <w:rPr>
                <w:color w:val="000000"/>
                <w:sz w:val="20"/>
                <w:szCs w:val="20"/>
              </w:rPr>
            </w:pPr>
            <w:r>
              <w:rPr>
                <w:color w:val="000000"/>
                <w:sz w:val="20"/>
                <w:szCs w:val="20"/>
              </w:rPr>
              <w:t>0,294</w:t>
            </w:r>
          </w:p>
        </w:tc>
        <w:tc>
          <w:tcPr>
            <w:tcW w:w="873" w:type="dxa"/>
            <w:vAlign w:val="center"/>
          </w:tcPr>
          <w:p>
            <w:pPr>
              <w:jc w:val="center"/>
              <w:rPr>
                <w:color w:val="000000"/>
                <w:sz w:val="20"/>
                <w:szCs w:val="20"/>
              </w:rPr>
            </w:pPr>
            <w:r>
              <w:rPr>
                <w:color w:val="000000"/>
                <w:sz w:val="20"/>
                <w:szCs w:val="20"/>
              </w:rPr>
              <w:t>0,294</w:t>
            </w:r>
          </w:p>
        </w:tc>
        <w:tc>
          <w:tcPr>
            <w:tcW w:w="874" w:type="dxa"/>
            <w:vAlign w:val="center"/>
          </w:tcPr>
          <w:p>
            <w:pPr>
              <w:jc w:val="center"/>
              <w:rPr>
                <w:color w:val="000000"/>
                <w:sz w:val="20"/>
                <w:szCs w:val="20"/>
              </w:rPr>
            </w:pPr>
            <w:r>
              <w:rPr>
                <w:color w:val="000000"/>
                <w:sz w:val="20"/>
                <w:szCs w:val="20"/>
              </w:rPr>
              <w:t>0,294</w:t>
            </w:r>
          </w:p>
        </w:tc>
        <w:tc>
          <w:tcPr>
            <w:tcW w:w="2459" w:type="dxa"/>
            <w:vAlign w:val="center"/>
          </w:tcPr>
          <w:p>
            <w:pPr>
              <w:spacing w:before="20" w:after="20"/>
              <w:rPr>
                <w:sz w:val="20"/>
                <w:szCs w:val="20"/>
              </w:rPr>
            </w:pPr>
            <w:r>
              <w:rPr>
                <w:sz w:val="20"/>
                <w:szCs w:val="20"/>
              </w:rPr>
              <w:t>Расчет Комитета ЖКХ по данным статистической формы 1-водопровод.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 xml:space="preserve">Удельное водопотребление </w:t>
            </w:r>
          </w:p>
        </w:tc>
        <w:tc>
          <w:tcPr>
            <w:tcW w:w="1134" w:type="dxa"/>
            <w:vAlign w:val="center"/>
          </w:tcPr>
          <w:p>
            <w:pPr>
              <w:spacing w:before="20" w:after="20"/>
              <w:jc w:val="center"/>
              <w:rPr>
                <w:sz w:val="20"/>
                <w:szCs w:val="20"/>
              </w:rPr>
            </w:pPr>
            <w:r>
              <w:rPr>
                <w:sz w:val="20"/>
                <w:szCs w:val="20"/>
              </w:rPr>
              <w:t>м</w:t>
            </w:r>
            <w:r>
              <w:rPr>
                <w:sz w:val="20"/>
                <w:szCs w:val="20"/>
                <w:vertAlign w:val="superscript"/>
              </w:rPr>
              <w:t>3</w:t>
            </w:r>
            <w:r>
              <w:rPr>
                <w:sz w:val="20"/>
                <w:szCs w:val="20"/>
              </w:rPr>
              <w:t>/чел. в год</w:t>
            </w:r>
          </w:p>
        </w:tc>
        <w:tc>
          <w:tcPr>
            <w:tcW w:w="873" w:type="dxa"/>
            <w:vAlign w:val="center"/>
          </w:tcPr>
          <w:p>
            <w:pPr>
              <w:jc w:val="center"/>
              <w:rPr>
                <w:color w:val="000000"/>
                <w:sz w:val="20"/>
                <w:szCs w:val="20"/>
              </w:rPr>
            </w:pPr>
            <w:r>
              <w:rPr>
                <w:color w:val="000000"/>
                <w:sz w:val="20"/>
                <w:szCs w:val="20"/>
              </w:rPr>
              <w:t>0,375</w:t>
            </w:r>
          </w:p>
        </w:tc>
        <w:tc>
          <w:tcPr>
            <w:tcW w:w="874" w:type="dxa"/>
            <w:vAlign w:val="center"/>
          </w:tcPr>
          <w:p>
            <w:pPr>
              <w:jc w:val="center"/>
              <w:rPr>
                <w:color w:val="000000"/>
                <w:sz w:val="20"/>
                <w:szCs w:val="20"/>
              </w:rPr>
            </w:pPr>
            <w:r>
              <w:rPr>
                <w:color w:val="000000"/>
                <w:sz w:val="20"/>
                <w:szCs w:val="20"/>
              </w:rPr>
              <w:t>0,375</w:t>
            </w:r>
          </w:p>
        </w:tc>
        <w:tc>
          <w:tcPr>
            <w:tcW w:w="873" w:type="dxa"/>
            <w:vAlign w:val="center"/>
          </w:tcPr>
          <w:p>
            <w:pPr>
              <w:jc w:val="center"/>
              <w:rPr>
                <w:color w:val="000000"/>
                <w:sz w:val="20"/>
                <w:szCs w:val="20"/>
              </w:rPr>
            </w:pPr>
            <w:r>
              <w:rPr>
                <w:color w:val="000000"/>
                <w:sz w:val="20"/>
                <w:szCs w:val="20"/>
              </w:rPr>
              <w:t>0,375</w:t>
            </w:r>
          </w:p>
        </w:tc>
        <w:tc>
          <w:tcPr>
            <w:tcW w:w="874" w:type="dxa"/>
            <w:vAlign w:val="center"/>
          </w:tcPr>
          <w:p>
            <w:pPr>
              <w:jc w:val="center"/>
              <w:rPr>
                <w:color w:val="000000"/>
                <w:sz w:val="20"/>
                <w:szCs w:val="20"/>
              </w:rPr>
            </w:pPr>
            <w:r>
              <w:rPr>
                <w:color w:val="000000"/>
                <w:sz w:val="20"/>
                <w:szCs w:val="20"/>
              </w:rPr>
              <w:t>0,375</w:t>
            </w:r>
          </w:p>
        </w:tc>
        <w:tc>
          <w:tcPr>
            <w:tcW w:w="2459" w:type="dxa"/>
            <w:vAlign w:val="center"/>
          </w:tcPr>
          <w:p>
            <w:pPr>
              <w:spacing w:before="20" w:after="20"/>
              <w:rPr>
                <w:sz w:val="20"/>
                <w:szCs w:val="20"/>
              </w:rPr>
            </w:pPr>
            <w:r>
              <w:rPr>
                <w:sz w:val="20"/>
                <w:szCs w:val="20"/>
              </w:rPr>
              <w:t>Расчет Комитета ЖКХ по данным статистической формы 1-водопровод.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Доля объема отпуска воды, счета за которую выставлены по приборам учета</w:t>
            </w:r>
          </w:p>
        </w:tc>
        <w:tc>
          <w:tcPr>
            <w:tcW w:w="1134" w:type="dxa"/>
            <w:vAlign w:val="center"/>
          </w:tcPr>
          <w:p>
            <w:pPr>
              <w:spacing w:before="20" w:after="20"/>
              <w:jc w:val="center"/>
              <w:rPr>
                <w:sz w:val="20"/>
                <w:szCs w:val="20"/>
              </w:rPr>
            </w:pPr>
            <w:r>
              <w:rPr>
                <w:sz w:val="20"/>
                <w:szCs w:val="20"/>
              </w:rPr>
              <w:t>%</w:t>
            </w:r>
          </w:p>
        </w:tc>
        <w:tc>
          <w:tcPr>
            <w:tcW w:w="873" w:type="dxa"/>
            <w:vAlign w:val="center"/>
          </w:tcPr>
          <w:p>
            <w:pPr>
              <w:jc w:val="center"/>
              <w:rPr>
                <w:color w:val="000000"/>
                <w:sz w:val="20"/>
                <w:szCs w:val="20"/>
              </w:rPr>
            </w:pPr>
            <w:r>
              <w:rPr>
                <w:color w:val="000000"/>
                <w:sz w:val="20"/>
                <w:szCs w:val="20"/>
              </w:rPr>
              <w:t>75,5</w:t>
            </w:r>
          </w:p>
        </w:tc>
        <w:tc>
          <w:tcPr>
            <w:tcW w:w="874" w:type="dxa"/>
            <w:vAlign w:val="center"/>
          </w:tcPr>
          <w:p>
            <w:pPr>
              <w:jc w:val="center"/>
              <w:rPr>
                <w:color w:val="000000"/>
                <w:sz w:val="20"/>
                <w:szCs w:val="20"/>
              </w:rPr>
            </w:pPr>
            <w:r>
              <w:rPr>
                <w:color w:val="000000"/>
                <w:sz w:val="20"/>
                <w:szCs w:val="20"/>
              </w:rPr>
              <w:t>76,2</w:t>
            </w:r>
          </w:p>
        </w:tc>
        <w:tc>
          <w:tcPr>
            <w:tcW w:w="873" w:type="dxa"/>
            <w:vAlign w:val="center"/>
          </w:tcPr>
          <w:p>
            <w:pPr>
              <w:spacing w:before="20" w:after="20"/>
              <w:jc w:val="center"/>
              <w:rPr>
                <w:sz w:val="20"/>
                <w:szCs w:val="20"/>
              </w:rPr>
            </w:pPr>
            <w:r>
              <w:rPr>
                <w:sz w:val="20"/>
                <w:szCs w:val="20"/>
              </w:rPr>
              <w:t>84,8</w:t>
            </w:r>
          </w:p>
        </w:tc>
        <w:tc>
          <w:tcPr>
            <w:tcW w:w="874" w:type="dxa"/>
            <w:vAlign w:val="center"/>
          </w:tcPr>
          <w:p>
            <w:pPr>
              <w:spacing w:before="20" w:after="20"/>
              <w:jc w:val="center"/>
              <w:rPr>
                <w:sz w:val="20"/>
                <w:szCs w:val="20"/>
              </w:rPr>
            </w:pPr>
            <w:r>
              <w:rPr>
                <w:sz w:val="20"/>
                <w:szCs w:val="20"/>
              </w:rPr>
              <w:t>87,6</w:t>
            </w:r>
          </w:p>
        </w:tc>
        <w:tc>
          <w:tcPr>
            <w:tcW w:w="2459" w:type="dxa"/>
            <w:vAlign w:val="center"/>
          </w:tcPr>
          <w:p>
            <w:pPr>
              <w:spacing w:before="20" w:after="20"/>
              <w:rPr>
                <w:sz w:val="20"/>
                <w:szCs w:val="20"/>
              </w:rPr>
            </w:pPr>
            <w:r>
              <w:rPr>
                <w:sz w:val="20"/>
                <w:szCs w:val="20"/>
              </w:rPr>
              <w:t xml:space="preserve">Данные Комитета ЖКХ по форме 22-ЖКХ (реформа).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Доля потерь воды в сетях</w:t>
            </w:r>
          </w:p>
        </w:tc>
        <w:tc>
          <w:tcPr>
            <w:tcW w:w="1134" w:type="dxa"/>
            <w:vAlign w:val="center"/>
          </w:tcPr>
          <w:p>
            <w:pPr>
              <w:spacing w:before="20" w:after="20"/>
              <w:jc w:val="center"/>
              <w:rPr>
                <w:sz w:val="20"/>
                <w:szCs w:val="20"/>
              </w:rPr>
            </w:pPr>
            <w:r>
              <w:rPr>
                <w:sz w:val="20"/>
                <w:szCs w:val="20"/>
              </w:rPr>
              <w:t>%</w:t>
            </w:r>
          </w:p>
        </w:tc>
        <w:tc>
          <w:tcPr>
            <w:tcW w:w="873" w:type="dxa"/>
            <w:vAlign w:val="center"/>
          </w:tcPr>
          <w:p>
            <w:pPr>
              <w:jc w:val="center"/>
              <w:rPr>
                <w:color w:val="000000"/>
                <w:sz w:val="20"/>
                <w:szCs w:val="20"/>
              </w:rPr>
            </w:pPr>
            <w:r>
              <w:rPr>
                <w:color w:val="000000"/>
                <w:sz w:val="20"/>
                <w:szCs w:val="20"/>
              </w:rPr>
              <w:t>11,3</w:t>
            </w:r>
          </w:p>
        </w:tc>
        <w:tc>
          <w:tcPr>
            <w:tcW w:w="874" w:type="dxa"/>
            <w:vAlign w:val="center"/>
          </w:tcPr>
          <w:p>
            <w:pPr>
              <w:jc w:val="center"/>
              <w:rPr>
                <w:color w:val="000000"/>
                <w:sz w:val="20"/>
                <w:szCs w:val="20"/>
              </w:rPr>
            </w:pPr>
            <w:r>
              <w:rPr>
                <w:color w:val="000000"/>
                <w:sz w:val="20"/>
                <w:szCs w:val="20"/>
              </w:rPr>
              <w:t>10,9</w:t>
            </w:r>
          </w:p>
        </w:tc>
        <w:tc>
          <w:tcPr>
            <w:tcW w:w="873" w:type="dxa"/>
            <w:vAlign w:val="center"/>
          </w:tcPr>
          <w:p>
            <w:pPr>
              <w:spacing w:before="20" w:after="20"/>
              <w:jc w:val="center"/>
              <w:rPr>
                <w:sz w:val="20"/>
                <w:szCs w:val="20"/>
              </w:rPr>
            </w:pPr>
            <w:r>
              <w:rPr>
                <w:sz w:val="20"/>
                <w:szCs w:val="20"/>
              </w:rPr>
              <w:t>7,5</w:t>
            </w:r>
          </w:p>
        </w:tc>
        <w:tc>
          <w:tcPr>
            <w:tcW w:w="874" w:type="dxa"/>
            <w:vAlign w:val="center"/>
          </w:tcPr>
          <w:p>
            <w:pPr>
              <w:spacing w:before="20" w:after="20"/>
              <w:jc w:val="center"/>
              <w:rPr>
                <w:sz w:val="20"/>
                <w:szCs w:val="20"/>
              </w:rPr>
            </w:pPr>
            <w:r>
              <w:rPr>
                <w:sz w:val="20"/>
                <w:szCs w:val="20"/>
              </w:rPr>
              <w:t>6,3</w:t>
            </w:r>
          </w:p>
        </w:tc>
        <w:tc>
          <w:tcPr>
            <w:tcW w:w="2459" w:type="dxa"/>
            <w:vAlign w:val="center"/>
          </w:tcPr>
          <w:p>
            <w:pPr>
              <w:spacing w:before="20" w:after="20"/>
              <w:rPr>
                <w:sz w:val="20"/>
                <w:szCs w:val="20"/>
              </w:rPr>
            </w:pPr>
            <w:r>
              <w:rPr>
                <w:sz w:val="20"/>
                <w:szCs w:val="20"/>
              </w:rPr>
              <w:t xml:space="preserve">Расчет Комитета ЖКХ по данным статистической формы 1-водопровод. </w:t>
            </w:r>
          </w:p>
        </w:tc>
      </w:tr>
    </w:tbl>
    <w:p>
      <w:pPr>
        <w:spacing w:before="120" w:after="120"/>
        <w:rPr>
          <w:sz w:val="20"/>
          <w:szCs w:val="20"/>
        </w:rPr>
      </w:pPr>
      <w:r>
        <w:rPr>
          <w:sz w:val="20"/>
          <w:szCs w:val="20"/>
        </w:rPr>
        <w:t xml:space="preserve">Источник: данные водоснабжающих компаний и оценки ООО «ЦТЭС». </w:t>
      </w:r>
    </w:p>
    <w:p>
      <w:pPr>
        <w:pStyle w:val="3"/>
        <w:numPr>
          <w:ilvl w:val="1"/>
          <w:numId w:val="30"/>
        </w:numPr>
        <w:pBdr>
          <w:bottom w:val="single" w:color="auto" w:sz="12" w:space="0"/>
        </w:pBdr>
        <w:tabs>
          <w:tab w:val="left" w:pos="993"/>
        </w:tabs>
        <w:spacing w:before="120" w:after="200"/>
        <w:ind w:left="1134" w:hanging="567"/>
        <w:rPr>
          <w:rFonts w:ascii="Times New Roman" w:hAnsi="Times New Roman"/>
          <w:i w:val="0"/>
          <w:color w:val="000000"/>
          <w:sz w:val="30"/>
          <w:szCs w:val="30"/>
        </w:rPr>
      </w:pPr>
      <w:bookmarkStart w:id="40" w:name="_Toc21015057"/>
      <w:r>
        <w:rPr>
          <w:rFonts w:ascii="Times New Roman" w:hAnsi="Times New Roman"/>
          <w:i w:val="0"/>
          <w:color w:val="000000"/>
          <w:sz w:val="30"/>
          <w:szCs w:val="30"/>
        </w:rPr>
        <w:t>Целевые показатели развития системы водоотведения</w:t>
      </w:r>
      <w:bookmarkEnd w:id="40"/>
    </w:p>
    <w:p>
      <w:pPr>
        <w:spacing w:line="360" w:lineRule="auto"/>
        <w:ind w:firstLine="567"/>
        <w:jc w:val="both"/>
        <w:rPr>
          <w:color w:val="000000"/>
          <w:sz w:val="28"/>
          <w:szCs w:val="28"/>
        </w:rPr>
      </w:pPr>
      <w:r>
        <w:rPr>
          <w:color w:val="000000"/>
          <w:sz w:val="28"/>
          <w:szCs w:val="28"/>
        </w:rPr>
        <w:t xml:space="preserve">Перспективные показатели спроса на услуги водоотведения представлены в подразделе 2.3 и Приложении 3 к тому 2 «Обосновывающие материалы к Програмному документу». Целевые показатели развития системы водоотведения представлены в таблице 4-3 и Приложении 4 к тому 2 «Обосновывающие материалы к Програмному документу». </w:t>
      </w:r>
    </w:p>
    <w:p>
      <w:pPr>
        <w:spacing w:line="312" w:lineRule="auto"/>
        <w:jc w:val="both"/>
        <w:rPr>
          <w:b/>
          <w:sz w:val="28"/>
          <w:szCs w:val="28"/>
        </w:rPr>
      </w:pPr>
      <w:r>
        <w:rPr>
          <w:b/>
          <w:sz w:val="28"/>
          <w:szCs w:val="28"/>
        </w:rPr>
        <w:t xml:space="preserve">Таблица 4-3. Целевые показатели развития системы водоотведения </w:t>
      </w:r>
    </w:p>
    <w:tbl>
      <w:tblPr>
        <w:tblStyle w:val="100"/>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134"/>
        <w:gridCol w:w="886"/>
        <w:gridCol w:w="886"/>
        <w:gridCol w:w="886"/>
        <w:gridCol w:w="886"/>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985" w:type="dxa"/>
            <w:vAlign w:val="center"/>
          </w:tcPr>
          <w:p>
            <w:pPr>
              <w:spacing w:before="20" w:after="20"/>
              <w:jc w:val="center"/>
              <w:rPr>
                <w:b/>
                <w:sz w:val="20"/>
                <w:szCs w:val="20"/>
              </w:rPr>
            </w:pPr>
            <w:r>
              <w:rPr>
                <w:b/>
                <w:sz w:val="20"/>
                <w:szCs w:val="20"/>
              </w:rPr>
              <w:t>Показатели</w:t>
            </w:r>
          </w:p>
        </w:tc>
        <w:tc>
          <w:tcPr>
            <w:tcW w:w="1134" w:type="dxa"/>
          </w:tcPr>
          <w:p>
            <w:pPr>
              <w:spacing w:before="20" w:after="20"/>
              <w:jc w:val="center"/>
              <w:rPr>
                <w:b/>
                <w:sz w:val="20"/>
                <w:szCs w:val="20"/>
              </w:rPr>
            </w:pPr>
            <w:r>
              <w:rPr>
                <w:b/>
                <w:sz w:val="20"/>
                <w:szCs w:val="20"/>
              </w:rPr>
              <w:t>Ед. изм</w:t>
            </w:r>
          </w:p>
        </w:tc>
        <w:tc>
          <w:tcPr>
            <w:tcW w:w="886" w:type="dxa"/>
            <w:vAlign w:val="center"/>
          </w:tcPr>
          <w:p>
            <w:pPr>
              <w:spacing w:before="20" w:after="20"/>
              <w:jc w:val="center"/>
              <w:rPr>
                <w:b/>
                <w:sz w:val="20"/>
                <w:szCs w:val="20"/>
              </w:rPr>
            </w:pPr>
            <w:r>
              <w:rPr>
                <w:b/>
                <w:sz w:val="20"/>
                <w:szCs w:val="20"/>
              </w:rPr>
              <w:t>2018</w:t>
            </w:r>
          </w:p>
        </w:tc>
        <w:tc>
          <w:tcPr>
            <w:tcW w:w="886" w:type="dxa"/>
            <w:vAlign w:val="center"/>
          </w:tcPr>
          <w:p>
            <w:pPr>
              <w:spacing w:before="20" w:after="20"/>
              <w:jc w:val="center"/>
              <w:rPr>
                <w:b/>
                <w:sz w:val="20"/>
                <w:szCs w:val="20"/>
              </w:rPr>
            </w:pPr>
            <w:r>
              <w:rPr>
                <w:b/>
                <w:sz w:val="20"/>
                <w:szCs w:val="20"/>
              </w:rPr>
              <w:t>2019</w:t>
            </w:r>
          </w:p>
        </w:tc>
        <w:tc>
          <w:tcPr>
            <w:tcW w:w="886" w:type="dxa"/>
            <w:vAlign w:val="center"/>
          </w:tcPr>
          <w:p>
            <w:pPr>
              <w:spacing w:before="20" w:after="20"/>
              <w:jc w:val="center"/>
              <w:rPr>
                <w:b/>
                <w:sz w:val="20"/>
                <w:szCs w:val="20"/>
              </w:rPr>
            </w:pPr>
            <w:r>
              <w:rPr>
                <w:b/>
                <w:sz w:val="20"/>
                <w:szCs w:val="20"/>
              </w:rPr>
              <w:t>2027</w:t>
            </w:r>
          </w:p>
        </w:tc>
        <w:tc>
          <w:tcPr>
            <w:tcW w:w="886" w:type="dxa"/>
            <w:vAlign w:val="center"/>
          </w:tcPr>
          <w:p>
            <w:pPr>
              <w:spacing w:before="20" w:after="20"/>
              <w:jc w:val="center"/>
              <w:rPr>
                <w:b/>
                <w:sz w:val="20"/>
                <w:szCs w:val="20"/>
              </w:rPr>
            </w:pPr>
            <w:r>
              <w:rPr>
                <w:b/>
                <w:sz w:val="20"/>
                <w:szCs w:val="20"/>
              </w:rPr>
              <w:t>2029</w:t>
            </w:r>
          </w:p>
        </w:tc>
        <w:tc>
          <w:tcPr>
            <w:tcW w:w="2409"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Доля сточный вод, не подвергшихся очистке</w:t>
            </w:r>
          </w:p>
        </w:tc>
        <w:tc>
          <w:tcPr>
            <w:tcW w:w="1134" w:type="dxa"/>
            <w:vAlign w:val="center"/>
          </w:tcPr>
          <w:p>
            <w:pPr>
              <w:spacing w:before="20" w:after="20"/>
              <w:jc w:val="center"/>
              <w:rPr>
                <w:sz w:val="20"/>
                <w:szCs w:val="20"/>
              </w:rPr>
            </w:pPr>
            <w:r>
              <w:rPr>
                <w:sz w:val="20"/>
                <w:szCs w:val="20"/>
              </w:rPr>
              <w:t>%</w:t>
            </w:r>
          </w:p>
        </w:tc>
        <w:tc>
          <w:tcPr>
            <w:tcW w:w="886" w:type="dxa"/>
            <w:vAlign w:val="center"/>
          </w:tcPr>
          <w:p>
            <w:pPr>
              <w:jc w:val="center"/>
              <w:rPr>
                <w:color w:val="000000"/>
                <w:sz w:val="22"/>
                <w:szCs w:val="22"/>
                <w:lang w:val="en-US"/>
              </w:rPr>
            </w:pPr>
            <w:r>
              <w:rPr>
                <w:color w:val="000000"/>
                <w:sz w:val="22"/>
                <w:szCs w:val="22"/>
                <w:lang w:val="en-US"/>
              </w:rPr>
              <w:t>0</w:t>
            </w:r>
          </w:p>
        </w:tc>
        <w:tc>
          <w:tcPr>
            <w:tcW w:w="886" w:type="dxa"/>
            <w:vAlign w:val="center"/>
          </w:tcPr>
          <w:p>
            <w:pPr>
              <w:jc w:val="center"/>
              <w:rPr>
                <w:color w:val="000000"/>
                <w:sz w:val="22"/>
                <w:szCs w:val="22"/>
                <w:lang w:val="en-US"/>
              </w:rPr>
            </w:pPr>
            <w:r>
              <w:rPr>
                <w:color w:val="000000"/>
                <w:sz w:val="22"/>
                <w:szCs w:val="22"/>
                <w:lang w:val="en-US"/>
              </w:rPr>
              <w:t>0</w:t>
            </w:r>
          </w:p>
        </w:tc>
        <w:tc>
          <w:tcPr>
            <w:tcW w:w="886" w:type="dxa"/>
            <w:vAlign w:val="center"/>
          </w:tcPr>
          <w:p>
            <w:pPr>
              <w:jc w:val="center"/>
              <w:rPr>
                <w:color w:val="000000"/>
                <w:sz w:val="22"/>
                <w:szCs w:val="22"/>
                <w:lang w:val="en-US"/>
              </w:rPr>
            </w:pPr>
            <w:r>
              <w:rPr>
                <w:color w:val="000000"/>
                <w:sz w:val="22"/>
                <w:szCs w:val="22"/>
                <w:lang w:val="en-US"/>
              </w:rPr>
              <w:t>0</w:t>
            </w:r>
          </w:p>
        </w:tc>
        <w:tc>
          <w:tcPr>
            <w:tcW w:w="886" w:type="dxa"/>
            <w:vAlign w:val="center"/>
          </w:tcPr>
          <w:p>
            <w:pPr>
              <w:jc w:val="center"/>
              <w:rPr>
                <w:color w:val="000000"/>
                <w:sz w:val="22"/>
                <w:szCs w:val="22"/>
                <w:lang w:val="en-US"/>
              </w:rPr>
            </w:pPr>
            <w:r>
              <w:rPr>
                <w:color w:val="000000"/>
                <w:sz w:val="22"/>
                <w:szCs w:val="22"/>
                <w:lang w:val="en-US"/>
              </w:rPr>
              <w:t>0</w:t>
            </w:r>
          </w:p>
        </w:tc>
        <w:tc>
          <w:tcPr>
            <w:tcW w:w="2409" w:type="dxa"/>
            <w:vAlign w:val="center"/>
          </w:tcPr>
          <w:p>
            <w:pPr>
              <w:spacing w:before="20" w:after="20"/>
              <w:rPr>
                <w:sz w:val="20"/>
                <w:szCs w:val="20"/>
              </w:rPr>
            </w:pPr>
            <w:r>
              <w:rPr>
                <w:sz w:val="20"/>
                <w:szCs w:val="20"/>
              </w:rPr>
              <w:t>Расчет Комитета ЖКХ по данным статистической формы 1- канализация.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Удельное количество аварий и засоров в расчете на протяженность канализационной сети в год</w:t>
            </w:r>
          </w:p>
        </w:tc>
        <w:tc>
          <w:tcPr>
            <w:tcW w:w="1134" w:type="dxa"/>
            <w:vAlign w:val="center"/>
          </w:tcPr>
          <w:p>
            <w:pPr>
              <w:spacing w:before="20" w:after="20"/>
              <w:jc w:val="center"/>
              <w:rPr>
                <w:sz w:val="20"/>
                <w:szCs w:val="20"/>
              </w:rPr>
            </w:pPr>
            <w:r>
              <w:rPr>
                <w:sz w:val="20"/>
                <w:szCs w:val="20"/>
              </w:rPr>
              <w:t>ед./км.</w:t>
            </w:r>
          </w:p>
        </w:tc>
        <w:tc>
          <w:tcPr>
            <w:tcW w:w="886" w:type="dxa"/>
            <w:vAlign w:val="center"/>
          </w:tcPr>
          <w:p>
            <w:pPr>
              <w:jc w:val="center"/>
              <w:rPr>
                <w:color w:val="000000"/>
                <w:sz w:val="20"/>
                <w:szCs w:val="20"/>
              </w:rPr>
            </w:pPr>
            <w:r>
              <w:rPr>
                <w:color w:val="000000"/>
                <w:sz w:val="20"/>
                <w:szCs w:val="20"/>
              </w:rPr>
              <w:t>7,88</w:t>
            </w:r>
          </w:p>
        </w:tc>
        <w:tc>
          <w:tcPr>
            <w:tcW w:w="886" w:type="dxa"/>
            <w:vAlign w:val="center"/>
          </w:tcPr>
          <w:p>
            <w:pPr>
              <w:jc w:val="center"/>
              <w:rPr>
                <w:color w:val="000000"/>
                <w:sz w:val="20"/>
                <w:szCs w:val="20"/>
              </w:rPr>
            </w:pPr>
            <w:r>
              <w:rPr>
                <w:color w:val="000000"/>
                <w:sz w:val="20"/>
                <w:szCs w:val="20"/>
              </w:rPr>
              <w:t>7,33</w:t>
            </w:r>
          </w:p>
        </w:tc>
        <w:tc>
          <w:tcPr>
            <w:tcW w:w="886" w:type="dxa"/>
            <w:vAlign w:val="center"/>
          </w:tcPr>
          <w:p>
            <w:pPr>
              <w:spacing w:before="20" w:after="20"/>
              <w:jc w:val="center"/>
              <w:rPr>
                <w:sz w:val="20"/>
                <w:szCs w:val="20"/>
              </w:rPr>
            </w:pPr>
            <w:r>
              <w:rPr>
                <w:sz w:val="20"/>
                <w:szCs w:val="20"/>
              </w:rPr>
              <w:t>2,53</w:t>
            </w:r>
          </w:p>
        </w:tc>
        <w:tc>
          <w:tcPr>
            <w:tcW w:w="886" w:type="dxa"/>
            <w:vAlign w:val="center"/>
          </w:tcPr>
          <w:p>
            <w:pPr>
              <w:spacing w:before="20" w:after="20"/>
              <w:jc w:val="center"/>
              <w:rPr>
                <w:sz w:val="20"/>
                <w:szCs w:val="20"/>
              </w:rPr>
            </w:pPr>
            <w:r>
              <w:rPr>
                <w:sz w:val="20"/>
                <w:szCs w:val="20"/>
              </w:rPr>
              <w:t>0,92</w:t>
            </w:r>
          </w:p>
        </w:tc>
        <w:tc>
          <w:tcPr>
            <w:tcW w:w="2409" w:type="dxa"/>
            <w:vAlign w:val="center"/>
          </w:tcPr>
          <w:p>
            <w:pPr>
              <w:spacing w:before="20" w:after="20"/>
              <w:rPr>
                <w:sz w:val="20"/>
                <w:szCs w:val="20"/>
              </w:rPr>
            </w:pPr>
            <w:r>
              <w:rPr>
                <w:sz w:val="20"/>
                <w:szCs w:val="20"/>
              </w:rPr>
              <w:t>Расчет Комитета ЖКХ по данным статистической формы 1- канализация.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Удельный расход электроэнергии на транспортировку стоков</w:t>
            </w:r>
          </w:p>
        </w:tc>
        <w:tc>
          <w:tcPr>
            <w:tcW w:w="1134" w:type="dxa"/>
            <w:vAlign w:val="center"/>
          </w:tcPr>
          <w:p>
            <w:pPr>
              <w:spacing w:before="20" w:after="20"/>
              <w:jc w:val="center"/>
              <w:rPr>
                <w:sz w:val="20"/>
                <w:szCs w:val="20"/>
                <w:vertAlign w:val="superscript"/>
              </w:rPr>
            </w:pPr>
            <w:r>
              <w:rPr>
                <w:sz w:val="20"/>
                <w:szCs w:val="20"/>
              </w:rPr>
              <w:t>кВт*ч/м</w:t>
            </w:r>
            <w:r>
              <w:rPr>
                <w:sz w:val="20"/>
                <w:szCs w:val="20"/>
                <w:vertAlign w:val="superscript"/>
              </w:rPr>
              <w:t>3</w:t>
            </w:r>
          </w:p>
        </w:tc>
        <w:tc>
          <w:tcPr>
            <w:tcW w:w="886" w:type="dxa"/>
            <w:vAlign w:val="center"/>
          </w:tcPr>
          <w:p>
            <w:pPr>
              <w:jc w:val="center"/>
              <w:rPr>
                <w:color w:val="000000"/>
                <w:sz w:val="22"/>
                <w:szCs w:val="22"/>
              </w:rPr>
            </w:pPr>
            <w:r>
              <w:rPr>
                <w:color w:val="000000"/>
                <w:sz w:val="22"/>
                <w:szCs w:val="22"/>
              </w:rPr>
              <w:t>0,27</w:t>
            </w:r>
          </w:p>
        </w:tc>
        <w:tc>
          <w:tcPr>
            <w:tcW w:w="886" w:type="dxa"/>
            <w:vAlign w:val="center"/>
          </w:tcPr>
          <w:p>
            <w:pPr>
              <w:jc w:val="center"/>
              <w:rPr>
                <w:color w:val="000000"/>
                <w:sz w:val="22"/>
                <w:szCs w:val="22"/>
              </w:rPr>
            </w:pPr>
            <w:r>
              <w:rPr>
                <w:color w:val="000000"/>
                <w:sz w:val="22"/>
                <w:szCs w:val="22"/>
              </w:rPr>
              <w:t>0,27</w:t>
            </w:r>
          </w:p>
        </w:tc>
        <w:tc>
          <w:tcPr>
            <w:tcW w:w="886" w:type="dxa"/>
            <w:vAlign w:val="center"/>
          </w:tcPr>
          <w:p>
            <w:pPr>
              <w:jc w:val="center"/>
              <w:rPr>
                <w:color w:val="000000"/>
                <w:sz w:val="22"/>
                <w:szCs w:val="22"/>
              </w:rPr>
            </w:pPr>
            <w:r>
              <w:rPr>
                <w:color w:val="000000"/>
                <w:sz w:val="22"/>
                <w:szCs w:val="22"/>
              </w:rPr>
              <w:t>0,27</w:t>
            </w:r>
          </w:p>
        </w:tc>
        <w:tc>
          <w:tcPr>
            <w:tcW w:w="886" w:type="dxa"/>
            <w:vAlign w:val="center"/>
          </w:tcPr>
          <w:p>
            <w:pPr>
              <w:jc w:val="center"/>
              <w:rPr>
                <w:color w:val="000000"/>
                <w:sz w:val="22"/>
                <w:szCs w:val="22"/>
              </w:rPr>
            </w:pPr>
            <w:r>
              <w:rPr>
                <w:color w:val="000000"/>
                <w:sz w:val="22"/>
                <w:szCs w:val="22"/>
              </w:rPr>
              <w:t>0,26</w:t>
            </w:r>
          </w:p>
        </w:tc>
        <w:tc>
          <w:tcPr>
            <w:tcW w:w="2409" w:type="dxa"/>
            <w:vAlign w:val="center"/>
          </w:tcPr>
          <w:p>
            <w:pPr>
              <w:spacing w:before="20" w:after="20"/>
              <w:rPr>
                <w:sz w:val="20"/>
                <w:szCs w:val="20"/>
              </w:rPr>
            </w:pPr>
            <w:r>
              <w:rPr>
                <w:sz w:val="20"/>
                <w:szCs w:val="20"/>
              </w:rPr>
              <w:t>Расчет Комитета ЖКХ по данным статистической формы 1- канализация.</w:t>
            </w:r>
          </w:p>
        </w:tc>
      </w:tr>
    </w:tbl>
    <w:p>
      <w:pPr>
        <w:spacing w:before="120" w:after="120"/>
        <w:rPr>
          <w:sz w:val="20"/>
          <w:szCs w:val="20"/>
        </w:rPr>
      </w:pPr>
      <w:r>
        <w:rPr>
          <w:sz w:val="20"/>
          <w:szCs w:val="20"/>
        </w:rPr>
        <w:t xml:space="preserve">Источник: данные компаний системы водоотведения и оценки ООО «ЦТЭС». </w:t>
      </w:r>
    </w:p>
    <w:p>
      <w:pPr>
        <w:pStyle w:val="3"/>
        <w:numPr>
          <w:ilvl w:val="1"/>
          <w:numId w:val="30"/>
        </w:numPr>
        <w:pBdr>
          <w:bottom w:val="single" w:color="auto" w:sz="12" w:space="0"/>
        </w:pBdr>
        <w:tabs>
          <w:tab w:val="left" w:pos="1134"/>
        </w:tabs>
        <w:spacing w:before="120" w:after="200"/>
        <w:ind w:left="1134" w:hanging="567"/>
        <w:rPr>
          <w:rFonts w:ascii="Times New Roman" w:hAnsi="Times New Roman"/>
          <w:i w:val="0"/>
          <w:color w:val="000000"/>
          <w:sz w:val="30"/>
          <w:szCs w:val="30"/>
        </w:rPr>
      </w:pPr>
      <w:bookmarkStart w:id="41" w:name="_Toc21015058"/>
      <w:r>
        <w:rPr>
          <w:rFonts w:ascii="Times New Roman" w:hAnsi="Times New Roman"/>
          <w:i w:val="0"/>
          <w:color w:val="000000"/>
          <w:sz w:val="30"/>
          <w:szCs w:val="30"/>
        </w:rPr>
        <w:t>Целевые показатели развития системы электроснабжения</w:t>
      </w:r>
      <w:bookmarkEnd w:id="41"/>
    </w:p>
    <w:p>
      <w:pPr>
        <w:spacing w:line="360" w:lineRule="auto"/>
        <w:ind w:firstLine="567"/>
        <w:jc w:val="both"/>
        <w:rPr>
          <w:color w:val="000000"/>
          <w:sz w:val="28"/>
          <w:szCs w:val="28"/>
        </w:rPr>
      </w:pPr>
      <w:r>
        <w:rPr>
          <w:color w:val="000000"/>
          <w:sz w:val="28"/>
          <w:szCs w:val="28"/>
        </w:rPr>
        <w:t xml:space="preserve">Перспективные показатели спроса на услуги электроснабжения представлены в подразделе 2.4 и Приложении 3 к тому 2 «Обосновывающие материалы». Целевые показатели развития системы электроснабжения представлены в таблице 4-4 и Приложении 4 к тому 2 «Обосновывающие материалы». </w:t>
      </w:r>
    </w:p>
    <w:p>
      <w:pPr>
        <w:spacing w:line="312" w:lineRule="auto"/>
        <w:jc w:val="both"/>
        <w:rPr>
          <w:b/>
          <w:sz w:val="28"/>
          <w:szCs w:val="28"/>
        </w:rPr>
      </w:pPr>
      <w:r>
        <w:rPr>
          <w:b/>
          <w:sz w:val="28"/>
          <w:szCs w:val="28"/>
        </w:rPr>
        <w:t xml:space="preserve">Таблица 4-4. Целевые показатели развития системы электроснабжения </w:t>
      </w:r>
    </w:p>
    <w:tbl>
      <w:tblPr>
        <w:tblStyle w:val="100"/>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134"/>
        <w:gridCol w:w="886"/>
        <w:gridCol w:w="886"/>
        <w:gridCol w:w="886"/>
        <w:gridCol w:w="886"/>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985" w:type="dxa"/>
            <w:vAlign w:val="center"/>
          </w:tcPr>
          <w:p>
            <w:pPr>
              <w:spacing w:before="20" w:after="20"/>
              <w:jc w:val="center"/>
              <w:rPr>
                <w:b/>
                <w:sz w:val="20"/>
                <w:szCs w:val="20"/>
              </w:rPr>
            </w:pPr>
            <w:r>
              <w:rPr>
                <w:b/>
                <w:sz w:val="20"/>
                <w:szCs w:val="20"/>
              </w:rPr>
              <w:t>Показатели</w:t>
            </w:r>
          </w:p>
        </w:tc>
        <w:tc>
          <w:tcPr>
            <w:tcW w:w="1134" w:type="dxa"/>
          </w:tcPr>
          <w:p>
            <w:pPr>
              <w:spacing w:before="20" w:after="20"/>
              <w:jc w:val="center"/>
              <w:rPr>
                <w:b/>
                <w:sz w:val="20"/>
                <w:szCs w:val="20"/>
              </w:rPr>
            </w:pPr>
            <w:r>
              <w:rPr>
                <w:b/>
                <w:sz w:val="20"/>
                <w:szCs w:val="20"/>
              </w:rPr>
              <w:t>Ед. изм</w:t>
            </w:r>
          </w:p>
        </w:tc>
        <w:tc>
          <w:tcPr>
            <w:tcW w:w="886" w:type="dxa"/>
            <w:vAlign w:val="center"/>
          </w:tcPr>
          <w:p>
            <w:pPr>
              <w:spacing w:before="20" w:after="20"/>
              <w:jc w:val="center"/>
              <w:rPr>
                <w:b/>
                <w:sz w:val="20"/>
                <w:szCs w:val="20"/>
              </w:rPr>
            </w:pPr>
            <w:r>
              <w:rPr>
                <w:b/>
                <w:sz w:val="20"/>
                <w:szCs w:val="20"/>
              </w:rPr>
              <w:t>2018</w:t>
            </w:r>
          </w:p>
        </w:tc>
        <w:tc>
          <w:tcPr>
            <w:tcW w:w="886" w:type="dxa"/>
            <w:vAlign w:val="center"/>
          </w:tcPr>
          <w:p>
            <w:pPr>
              <w:spacing w:before="20" w:after="20"/>
              <w:jc w:val="center"/>
              <w:rPr>
                <w:b/>
                <w:sz w:val="20"/>
                <w:szCs w:val="20"/>
              </w:rPr>
            </w:pPr>
            <w:r>
              <w:rPr>
                <w:b/>
                <w:sz w:val="20"/>
                <w:szCs w:val="20"/>
              </w:rPr>
              <w:t>2019</w:t>
            </w:r>
          </w:p>
        </w:tc>
        <w:tc>
          <w:tcPr>
            <w:tcW w:w="886" w:type="dxa"/>
            <w:vAlign w:val="center"/>
          </w:tcPr>
          <w:p>
            <w:pPr>
              <w:spacing w:before="20" w:after="20"/>
              <w:jc w:val="center"/>
              <w:rPr>
                <w:b/>
                <w:sz w:val="20"/>
                <w:szCs w:val="20"/>
              </w:rPr>
            </w:pPr>
            <w:r>
              <w:rPr>
                <w:b/>
                <w:sz w:val="20"/>
                <w:szCs w:val="20"/>
              </w:rPr>
              <w:t>2020</w:t>
            </w:r>
          </w:p>
        </w:tc>
        <w:tc>
          <w:tcPr>
            <w:tcW w:w="886" w:type="dxa"/>
            <w:vAlign w:val="center"/>
          </w:tcPr>
          <w:p>
            <w:pPr>
              <w:spacing w:before="20" w:after="20"/>
              <w:jc w:val="center"/>
              <w:rPr>
                <w:b/>
                <w:sz w:val="20"/>
                <w:szCs w:val="20"/>
              </w:rPr>
            </w:pPr>
            <w:r>
              <w:rPr>
                <w:b/>
                <w:sz w:val="20"/>
                <w:szCs w:val="20"/>
              </w:rPr>
              <w:t>2029</w:t>
            </w:r>
          </w:p>
        </w:tc>
        <w:tc>
          <w:tcPr>
            <w:tcW w:w="2409"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Потери электроэнергии в электрических сетях среднего напряжения 2-го уровня (6-10 кВ)</w:t>
            </w:r>
          </w:p>
        </w:tc>
        <w:tc>
          <w:tcPr>
            <w:tcW w:w="1134" w:type="dxa"/>
            <w:vAlign w:val="center"/>
          </w:tcPr>
          <w:p>
            <w:pPr>
              <w:spacing w:before="20" w:after="20"/>
              <w:jc w:val="center"/>
              <w:rPr>
                <w:sz w:val="20"/>
                <w:szCs w:val="20"/>
              </w:rPr>
            </w:pPr>
            <w:r>
              <w:rPr>
                <w:sz w:val="20"/>
                <w:szCs w:val="20"/>
              </w:rPr>
              <w:t>%</w:t>
            </w:r>
          </w:p>
        </w:tc>
        <w:tc>
          <w:tcPr>
            <w:tcW w:w="886" w:type="dxa"/>
            <w:vAlign w:val="center"/>
          </w:tcPr>
          <w:p>
            <w:pPr>
              <w:spacing w:before="20" w:after="20"/>
              <w:rPr>
                <w:sz w:val="20"/>
                <w:szCs w:val="20"/>
              </w:rPr>
            </w:pPr>
            <w:r>
              <w:rPr>
                <w:sz w:val="20"/>
                <w:szCs w:val="20"/>
              </w:rPr>
              <w:t>13,8</w:t>
            </w:r>
          </w:p>
        </w:tc>
        <w:tc>
          <w:tcPr>
            <w:tcW w:w="886" w:type="dxa"/>
            <w:vAlign w:val="center"/>
          </w:tcPr>
          <w:p>
            <w:pPr>
              <w:spacing w:before="20" w:after="20"/>
              <w:rPr>
                <w:sz w:val="20"/>
                <w:szCs w:val="20"/>
              </w:rPr>
            </w:pPr>
            <w:r>
              <w:rPr>
                <w:sz w:val="20"/>
                <w:szCs w:val="20"/>
              </w:rPr>
              <w:t>13</w:t>
            </w:r>
          </w:p>
        </w:tc>
        <w:tc>
          <w:tcPr>
            <w:tcW w:w="886" w:type="dxa"/>
            <w:vAlign w:val="center"/>
          </w:tcPr>
          <w:p>
            <w:pPr>
              <w:spacing w:before="20" w:after="20"/>
              <w:rPr>
                <w:sz w:val="20"/>
                <w:szCs w:val="20"/>
              </w:rPr>
            </w:pPr>
            <w:r>
              <w:rPr>
                <w:sz w:val="20"/>
                <w:szCs w:val="20"/>
              </w:rPr>
              <w:t>12,5</w:t>
            </w:r>
          </w:p>
        </w:tc>
        <w:tc>
          <w:tcPr>
            <w:tcW w:w="886" w:type="dxa"/>
            <w:vAlign w:val="center"/>
          </w:tcPr>
          <w:p>
            <w:pPr>
              <w:spacing w:before="20" w:after="20"/>
              <w:rPr>
                <w:sz w:val="20"/>
                <w:szCs w:val="20"/>
              </w:rPr>
            </w:pPr>
            <w:r>
              <w:rPr>
                <w:sz w:val="20"/>
                <w:szCs w:val="20"/>
              </w:rPr>
              <w:t>12</w:t>
            </w:r>
          </w:p>
        </w:tc>
        <w:tc>
          <w:tcPr>
            <w:tcW w:w="2409" w:type="dxa"/>
            <w:vAlign w:val="center"/>
          </w:tcPr>
          <w:p>
            <w:pPr>
              <w:spacing w:before="20" w:after="20"/>
              <w:rPr>
                <w:sz w:val="20"/>
                <w:szCs w:val="20"/>
              </w:rPr>
            </w:pPr>
            <w:r>
              <w:rPr>
                <w:sz w:val="20"/>
                <w:szCs w:val="20"/>
              </w:rPr>
              <w:t xml:space="preserve">Расчет Управления ЖКХ по данным электроснабжающих компаний.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Потери электроэнергии в электрических сетях низкого напряжения (0,38 кВ)</w:t>
            </w:r>
          </w:p>
        </w:tc>
        <w:tc>
          <w:tcPr>
            <w:tcW w:w="1134" w:type="dxa"/>
            <w:vAlign w:val="center"/>
          </w:tcPr>
          <w:p>
            <w:pPr>
              <w:spacing w:before="20" w:after="20"/>
              <w:jc w:val="center"/>
              <w:rPr>
                <w:sz w:val="20"/>
                <w:szCs w:val="20"/>
              </w:rPr>
            </w:pPr>
            <w:r>
              <w:rPr>
                <w:sz w:val="20"/>
                <w:szCs w:val="20"/>
              </w:rPr>
              <w:t>%</w:t>
            </w:r>
          </w:p>
        </w:tc>
        <w:tc>
          <w:tcPr>
            <w:tcW w:w="886" w:type="dxa"/>
            <w:vAlign w:val="center"/>
          </w:tcPr>
          <w:p>
            <w:pPr>
              <w:spacing w:before="20" w:after="20"/>
              <w:rPr>
                <w:sz w:val="20"/>
                <w:szCs w:val="20"/>
              </w:rPr>
            </w:pPr>
            <w:r>
              <w:rPr>
                <w:sz w:val="20"/>
                <w:szCs w:val="20"/>
              </w:rPr>
              <w:t>24</w:t>
            </w:r>
          </w:p>
        </w:tc>
        <w:tc>
          <w:tcPr>
            <w:tcW w:w="886" w:type="dxa"/>
            <w:vAlign w:val="center"/>
          </w:tcPr>
          <w:p>
            <w:pPr>
              <w:spacing w:before="20" w:after="20"/>
              <w:rPr>
                <w:sz w:val="20"/>
                <w:szCs w:val="20"/>
              </w:rPr>
            </w:pPr>
            <w:r>
              <w:rPr>
                <w:sz w:val="20"/>
                <w:szCs w:val="20"/>
              </w:rPr>
              <w:t>23</w:t>
            </w:r>
          </w:p>
        </w:tc>
        <w:tc>
          <w:tcPr>
            <w:tcW w:w="886" w:type="dxa"/>
            <w:vAlign w:val="center"/>
          </w:tcPr>
          <w:p>
            <w:pPr>
              <w:spacing w:before="20" w:after="20"/>
              <w:rPr>
                <w:sz w:val="20"/>
                <w:szCs w:val="20"/>
              </w:rPr>
            </w:pPr>
            <w:r>
              <w:rPr>
                <w:sz w:val="20"/>
                <w:szCs w:val="20"/>
              </w:rPr>
              <w:t>22</w:t>
            </w:r>
          </w:p>
        </w:tc>
        <w:tc>
          <w:tcPr>
            <w:tcW w:w="886" w:type="dxa"/>
            <w:vAlign w:val="center"/>
          </w:tcPr>
          <w:p>
            <w:pPr>
              <w:spacing w:before="20" w:after="20"/>
              <w:rPr>
                <w:sz w:val="20"/>
                <w:szCs w:val="20"/>
              </w:rPr>
            </w:pPr>
            <w:r>
              <w:rPr>
                <w:sz w:val="20"/>
                <w:szCs w:val="20"/>
              </w:rPr>
              <w:t>12</w:t>
            </w:r>
          </w:p>
        </w:tc>
        <w:tc>
          <w:tcPr>
            <w:tcW w:w="2409" w:type="dxa"/>
            <w:vAlign w:val="center"/>
          </w:tcPr>
          <w:p>
            <w:pPr>
              <w:spacing w:before="20" w:after="20"/>
              <w:rPr>
                <w:sz w:val="20"/>
                <w:szCs w:val="20"/>
              </w:rPr>
            </w:pPr>
            <w:r>
              <w:rPr>
                <w:sz w:val="20"/>
                <w:szCs w:val="20"/>
              </w:rPr>
              <w:t xml:space="preserve">Расчет Управления ЖКХ по данным электроснабжающих компаний.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Общее количество электроэнергии, полезно реализованной потребителям</w:t>
            </w:r>
          </w:p>
        </w:tc>
        <w:tc>
          <w:tcPr>
            <w:tcW w:w="1134" w:type="dxa"/>
            <w:vAlign w:val="center"/>
          </w:tcPr>
          <w:p>
            <w:pPr>
              <w:spacing w:before="20" w:after="20"/>
              <w:jc w:val="center"/>
              <w:rPr>
                <w:sz w:val="20"/>
                <w:szCs w:val="20"/>
              </w:rPr>
            </w:pPr>
            <w:r>
              <w:rPr>
                <w:sz w:val="20"/>
                <w:szCs w:val="20"/>
              </w:rPr>
              <w:t>%</w:t>
            </w:r>
          </w:p>
        </w:tc>
        <w:tc>
          <w:tcPr>
            <w:tcW w:w="886" w:type="dxa"/>
            <w:vAlign w:val="center"/>
          </w:tcPr>
          <w:p>
            <w:pPr>
              <w:spacing w:before="20" w:after="20"/>
              <w:rPr>
                <w:sz w:val="20"/>
                <w:szCs w:val="20"/>
              </w:rPr>
            </w:pPr>
            <w:r>
              <w:rPr>
                <w:sz w:val="20"/>
                <w:szCs w:val="20"/>
              </w:rPr>
              <w:t>86,1</w:t>
            </w:r>
          </w:p>
        </w:tc>
        <w:tc>
          <w:tcPr>
            <w:tcW w:w="886" w:type="dxa"/>
            <w:vAlign w:val="center"/>
          </w:tcPr>
          <w:p>
            <w:pPr>
              <w:spacing w:before="20" w:after="20"/>
              <w:rPr>
                <w:sz w:val="20"/>
                <w:szCs w:val="20"/>
              </w:rPr>
            </w:pPr>
            <w:r>
              <w:rPr>
                <w:sz w:val="20"/>
                <w:szCs w:val="20"/>
              </w:rPr>
              <w:t>87</w:t>
            </w:r>
          </w:p>
        </w:tc>
        <w:tc>
          <w:tcPr>
            <w:tcW w:w="886" w:type="dxa"/>
            <w:vAlign w:val="center"/>
          </w:tcPr>
          <w:p>
            <w:pPr>
              <w:spacing w:before="20" w:after="20"/>
              <w:rPr>
                <w:sz w:val="20"/>
                <w:szCs w:val="20"/>
              </w:rPr>
            </w:pPr>
            <w:r>
              <w:rPr>
                <w:sz w:val="20"/>
                <w:szCs w:val="20"/>
              </w:rPr>
              <w:t>87,5</w:t>
            </w:r>
          </w:p>
        </w:tc>
        <w:tc>
          <w:tcPr>
            <w:tcW w:w="886" w:type="dxa"/>
            <w:vAlign w:val="center"/>
          </w:tcPr>
          <w:p>
            <w:pPr>
              <w:spacing w:before="20" w:after="20"/>
              <w:rPr>
                <w:sz w:val="20"/>
                <w:szCs w:val="20"/>
              </w:rPr>
            </w:pPr>
            <w:r>
              <w:rPr>
                <w:sz w:val="20"/>
                <w:szCs w:val="20"/>
              </w:rPr>
              <w:t>88</w:t>
            </w:r>
          </w:p>
        </w:tc>
        <w:tc>
          <w:tcPr>
            <w:tcW w:w="2409" w:type="dxa"/>
            <w:vAlign w:val="center"/>
          </w:tcPr>
          <w:p>
            <w:pPr>
              <w:spacing w:before="20" w:after="20"/>
              <w:rPr>
                <w:sz w:val="20"/>
                <w:szCs w:val="20"/>
              </w:rPr>
            </w:pPr>
            <w:r>
              <w:rPr>
                <w:sz w:val="20"/>
                <w:szCs w:val="20"/>
              </w:rPr>
              <w:t>Расчет Управления ЖКХ по данным электроснабжающих компаний.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spacing w:before="20" w:after="20"/>
              <w:rPr>
                <w:sz w:val="20"/>
                <w:szCs w:val="20"/>
              </w:rPr>
            </w:pPr>
            <w:r>
              <w:rPr>
                <w:sz w:val="20"/>
                <w:szCs w:val="20"/>
              </w:rPr>
              <w:t>Доля объема отпуска электрической энергии, счета за которую выставлены по приборам учета</w:t>
            </w:r>
          </w:p>
        </w:tc>
        <w:tc>
          <w:tcPr>
            <w:tcW w:w="1134" w:type="dxa"/>
            <w:vAlign w:val="center"/>
          </w:tcPr>
          <w:p>
            <w:pPr>
              <w:spacing w:before="20" w:after="20"/>
              <w:jc w:val="center"/>
              <w:rPr>
                <w:sz w:val="20"/>
                <w:szCs w:val="20"/>
              </w:rPr>
            </w:pPr>
            <w:r>
              <w:rPr>
                <w:sz w:val="20"/>
                <w:szCs w:val="20"/>
              </w:rPr>
              <w:t>%</w:t>
            </w:r>
          </w:p>
        </w:tc>
        <w:tc>
          <w:tcPr>
            <w:tcW w:w="886" w:type="dxa"/>
            <w:vAlign w:val="center"/>
          </w:tcPr>
          <w:p>
            <w:pPr>
              <w:spacing w:before="20" w:after="20"/>
              <w:rPr>
                <w:sz w:val="20"/>
                <w:szCs w:val="20"/>
              </w:rPr>
            </w:pPr>
            <w:r>
              <w:rPr>
                <w:sz w:val="20"/>
                <w:szCs w:val="20"/>
              </w:rPr>
              <w:t>99,7</w:t>
            </w:r>
          </w:p>
        </w:tc>
        <w:tc>
          <w:tcPr>
            <w:tcW w:w="886" w:type="dxa"/>
            <w:vAlign w:val="center"/>
          </w:tcPr>
          <w:p>
            <w:pPr>
              <w:spacing w:before="20" w:after="20"/>
              <w:rPr>
                <w:sz w:val="20"/>
                <w:szCs w:val="20"/>
              </w:rPr>
            </w:pPr>
            <w:r>
              <w:rPr>
                <w:sz w:val="20"/>
                <w:szCs w:val="20"/>
              </w:rPr>
              <w:t>99,8</w:t>
            </w:r>
          </w:p>
        </w:tc>
        <w:tc>
          <w:tcPr>
            <w:tcW w:w="886" w:type="dxa"/>
            <w:vAlign w:val="center"/>
          </w:tcPr>
          <w:p>
            <w:pPr>
              <w:spacing w:before="20" w:after="20"/>
              <w:rPr>
                <w:sz w:val="20"/>
                <w:szCs w:val="20"/>
              </w:rPr>
            </w:pPr>
            <w:r>
              <w:rPr>
                <w:sz w:val="20"/>
                <w:szCs w:val="20"/>
              </w:rPr>
              <w:t>100</w:t>
            </w:r>
          </w:p>
        </w:tc>
        <w:tc>
          <w:tcPr>
            <w:tcW w:w="886" w:type="dxa"/>
            <w:vAlign w:val="center"/>
          </w:tcPr>
          <w:p>
            <w:pPr>
              <w:spacing w:before="20" w:after="20"/>
              <w:rPr>
                <w:sz w:val="20"/>
                <w:szCs w:val="20"/>
              </w:rPr>
            </w:pPr>
            <w:r>
              <w:rPr>
                <w:sz w:val="20"/>
                <w:szCs w:val="20"/>
              </w:rPr>
              <w:t>100</w:t>
            </w:r>
          </w:p>
        </w:tc>
        <w:tc>
          <w:tcPr>
            <w:tcW w:w="2409" w:type="dxa"/>
            <w:vAlign w:val="center"/>
          </w:tcPr>
          <w:p>
            <w:pPr>
              <w:spacing w:before="20" w:after="20"/>
              <w:rPr>
                <w:sz w:val="20"/>
                <w:szCs w:val="20"/>
              </w:rPr>
            </w:pPr>
            <w:r>
              <w:rPr>
                <w:sz w:val="20"/>
                <w:szCs w:val="20"/>
              </w:rPr>
              <w:t>Расчет Управления ЖКХ по данным электроснабжающих компаний.</w:t>
            </w:r>
          </w:p>
        </w:tc>
      </w:tr>
    </w:tbl>
    <w:p>
      <w:pPr>
        <w:spacing w:before="120" w:after="120"/>
        <w:rPr>
          <w:sz w:val="20"/>
          <w:szCs w:val="20"/>
        </w:rPr>
      </w:pPr>
      <w:r>
        <w:rPr>
          <w:sz w:val="20"/>
          <w:szCs w:val="20"/>
        </w:rPr>
        <w:t xml:space="preserve">Источник: данные электроснабжающих компаний и оценки ООО «ЦТЭС». </w:t>
      </w:r>
    </w:p>
    <w:p>
      <w:pPr>
        <w:spacing w:before="120" w:after="120"/>
        <w:rPr>
          <w:sz w:val="20"/>
          <w:szCs w:val="20"/>
        </w:rPr>
      </w:pPr>
    </w:p>
    <w:p>
      <w:pPr>
        <w:pStyle w:val="3"/>
        <w:numPr>
          <w:ilvl w:val="1"/>
          <w:numId w:val="30"/>
        </w:numPr>
        <w:pBdr>
          <w:bottom w:val="single" w:color="auto" w:sz="12" w:space="0"/>
        </w:pBdr>
        <w:tabs>
          <w:tab w:val="left" w:pos="1134"/>
        </w:tabs>
        <w:spacing w:before="120" w:after="200"/>
        <w:ind w:left="1134" w:hanging="567"/>
        <w:rPr>
          <w:rFonts w:ascii="Times New Roman" w:hAnsi="Times New Roman"/>
          <w:i w:val="0"/>
          <w:color w:val="000000"/>
          <w:sz w:val="30"/>
          <w:szCs w:val="30"/>
        </w:rPr>
      </w:pPr>
      <w:bookmarkStart w:id="42" w:name="_Toc21015059"/>
      <w:r>
        <w:rPr>
          <w:rFonts w:ascii="Times New Roman" w:hAnsi="Times New Roman"/>
          <w:i w:val="0"/>
          <w:color w:val="000000"/>
          <w:sz w:val="30"/>
          <w:szCs w:val="30"/>
        </w:rPr>
        <w:t>Целевые показатели развития системы газоснабжения</w:t>
      </w:r>
      <w:bookmarkEnd w:id="42"/>
    </w:p>
    <w:p>
      <w:pPr>
        <w:spacing w:line="360" w:lineRule="auto"/>
        <w:ind w:firstLine="567"/>
        <w:jc w:val="both"/>
        <w:rPr>
          <w:color w:val="000000"/>
          <w:sz w:val="28"/>
          <w:szCs w:val="28"/>
        </w:rPr>
      </w:pPr>
      <w:r>
        <w:rPr>
          <w:color w:val="000000"/>
          <w:sz w:val="28"/>
          <w:szCs w:val="28"/>
        </w:rPr>
        <w:t xml:space="preserve">Перспективные показатели спроса на услуги газоснабжения представлены в подразделе 2.5 и Приложении 3 к тому 2 «Обосновывающие материалы к Програмному документу». Целевые показатели развития системы газоснабжения представлены в таблице 4-5 и Приложении 4 к тому 2 «Обосновывающие материалы». </w:t>
      </w:r>
    </w:p>
    <w:p>
      <w:pPr>
        <w:spacing w:line="360" w:lineRule="auto"/>
        <w:ind w:firstLine="567"/>
        <w:jc w:val="both"/>
        <w:rPr>
          <w:color w:val="000000"/>
          <w:sz w:val="28"/>
          <w:szCs w:val="28"/>
        </w:rPr>
      </w:pPr>
    </w:p>
    <w:p>
      <w:pPr>
        <w:spacing w:line="312" w:lineRule="auto"/>
        <w:jc w:val="both"/>
        <w:rPr>
          <w:b/>
          <w:sz w:val="28"/>
          <w:szCs w:val="28"/>
        </w:rPr>
      </w:pPr>
      <w:r>
        <w:rPr>
          <w:b/>
          <w:sz w:val="28"/>
          <w:szCs w:val="28"/>
        </w:rPr>
        <w:t xml:space="preserve">Таблица 4-5. Целевые показатели развития системы газоснабжения </w:t>
      </w:r>
    </w:p>
    <w:tbl>
      <w:tblPr>
        <w:tblStyle w:val="10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082"/>
        <w:gridCol w:w="899"/>
        <w:gridCol w:w="899"/>
        <w:gridCol w:w="899"/>
        <w:gridCol w:w="89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985" w:type="dxa"/>
            <w:vAlign w:val="center"/>
          </w:tcPr>
          <w:p>
            <w:pPr>
              <w:spacing w:before="20" w:after="20"/>
              <w:jc w:val="center"/>
              <w:rPr>
                <w:b/>
                <w:sz w:val="20"/>
                <w:szCs w:val="20"/>
              </w:rPr>
            </w:pPr>
            <w:r>
              <w:rPr>
                <w:b/>
                <w:sz w:val="20"/>
                <w:szCs w:val="20"/>
              </w:rPr>
              <w:t>Показатели</w:t>
            </w:r>
          </w:p>
        </w:tc>
        <w:tc>
          <w:tcPr>
            <w:tcW w:w="1082" w:type="dxa"/>
          </w:tcPr>
          <w:p>
            <w:pPr>
              <w:spacing w:before="20" w:after="20"/>
              <w:jc w:val="center"/>
              <w:rPr>
                <w:b/>
                <w:sz w:val="20"/>
                <w:szCs w:val="20"/>
              </w:rPr>
            </w:pPr>
            <w:r>
              <w:rPr>
                <w:b/>
                <w:sz w:val="20"/>
                <w:szCs w:val="20"/>
              </w:rPr>
              <w:t>Ед. изм</w:t>
            </w:r>
          </w:p>
        </w:tc>
        <w:tc>
          <w:tcPr>
            <w:tcW w:w="899" w:type="dxa"/>
            <w:vAlign w:val="center"/>
          </w:tcPr>
          <w:p>
            <w:pPr>
              <w:spacing w:before="20" w:after="20"/>
              <w:jc w:val="center"/>
              <w:rPr>
                <w:b/>
                <w:sz w:val="20"/>
                <w:szCs w:val="20"/>
              </w:rPr>
            </w:pPr>
            <w:r>
              <w:rPr>
                <w:b/>
                <w:sz w:val="20"/>
                <w:szCs w:val="20"/>
              </w:rPr>
              <w:t>2017</w:t>
            </w:r>
          </w:p>
        </w:tc>
        <w:tc>
          <w:tcPr>
            <w:tcW w:w="899" w:type="dxa"/>
            <w:vAlign w:val="center"/>
          </w:tcPr>
          <w:p>
            <w:pPr>
              <w:spacing w:before="20" w:after="20"/>
              <w:jc w:val="center"/>
              <w:rPr>
                <w:b/>
                <w:sz w:val="20"/>
                <w:szCs w:val="20"/>
              </w:rPr>
            </w:pPr>
            <w:r>
              <w:rPr>
                <w:b/>
                <w:sz w:val="20"/>
                <w:szCs w:val="20"/>
              </w:rPr>
              <w:t>2018</w:t>
            </w:r>
          </w:p>
        </w:tc>
        <w:tc>
          <w:tcPr>
            <w:tcW w:w="899" w:type="dxa"/>
            <w:vAlign w:val="center"/>
          </w:tcPr>
          <w:p>
            <w:pPr>
              <w:spacing w:before="20" w:after="20"/>
              <w:jc w:val="center"/>
              <w:rPr>
                <w:b/>
                <w:sz w:val="20"/>
                <w:szCs w:val="20"/>
              </w:rPr>
            </w:pPr>
            <w:r>
              <w:rPr>
                <w:b/>
                <w:sz w:val="20"/>
                <w:szCs w:val="20"/>
              </w:rPr>
              <w:t>2027</w:t>
            </w:r>
          </w:p>
        </w:tc>
        <w:tc>
          <w:tcPr>
            <w:tcW w:w="899" w:type="dxa"/>
            <w:vAlign w:val="center"/>
          </w:tcPr>
          <w:p>
            <w:pPr>
              <w:spacing w:before="20" w:after="20"/>
              <w:jc w:val="center"/>
              <w:rPr>
                <w:b/>
                <w:sz w:val="20"/>
                <w:szCs w:val="20"/>
              </w:rPr>
            </w:pPr>
            <w:r>
              <w:rPr>
                <w:b/>
                <w:sz w:val="20"/>
                <w:szCs w:val="20"/>
              </w:rPr>
              <w:t>2030</w:t>
            </w:r>
          </w:p>
        </w:tc>
        <w:tc>
          <w:tcPr>
            <w:tcW w:w="2409"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Align w:val="center"/>
          </w:tcPr>
          <w:p>
            <w:pPr>
              <w:keepNext/>
              <w:autoSpaceDE w:val="0"/>
              <w:autoSpaceDN w:val="0"/>
              <w:adjustRightInd w:val="0"/>
              <w:spacing w:before="20" w:after="20"/>
              <w:ind w:left="34"/>
              <w:rPr>
                <w:color w:val="000000"/>
                <w:sz w:val="20"/>
                <w:szCs w:val="20"/>
              </w:rPr>
            </w:pPr>
            <w:r>
              <w:rPr>
                <w:color w:val="000000"/>
                <w:sz w:val="20"/>
                <w:szCs w:val="20"/>
              </w:rPr>
              <w:t>Доля полимерных газопроводов</w:t>
            </w:r>
          </w:p>
        </w:tc>
        <w:tc>
          <w:tcPr>
            <w:tcW w:w="1082" w:type="dxa"/>
            <w:vAlign w:val="center"/>
          </w:tcPr>
          <w:p>
            <w:pPr>
              <w:spacing w:before="20" w:after="20"/>
              <w:jc w:val="center"/>
              <w:rPr>
                <w:sz w:val="20"/>
                <w:szCs w:val="20"/>
              </w:rPr>
            </w:pPr>
            <w:r>
              <w:rPr>
                <w:sz w:val="20"/>
                <w:szCs w:val="20"/>
              </w:rPr>
              <w:t>%</w:t>
            </w:r>
          </w:p>
        </w:tc>
        <w:tc>
          <w:tcPr>
            <w:tcW w:w="899" w:type="dxa"/>
            <w:vAlign w:val="center"/>
          </w:tcPr>
          <w:p>
            <w:pPr>
              <w:spacing w:before="20" w:after="20"/>
              <w:jc w:val="center"/>
              <w:rPr>
                <w:sz w:val="20"/>
                <w:szCs w:val="20"/>
                <w:lang w:val="en-US"/>
              </w:rPr>
            </w:pPr>
            <w:r>
              <w:rPr>
                <w:sz w:val="20"/>
                <w:szCs w:val="20"/>
                <w:lang w:val="en-US"/>
              </w:rPr>
              <w:t>63,1</w:t>
            </w:r>
          </w:p>
        </w:tc>
        <w:tc>
          <w:tcPr>
            <w:tcW w:w="899" w:type="dxa"/>
            <w:vAlign w:val="center"/>
          </w:tcPr>
          <w:p>
            <w:pPr>
              <w:spacing w:before="20" w:after="20"/>
              <w:jc w:val="center"/>
              <w:rPr>
                <w:sz w:val="20"/>
                <w:szCs w:val="20"/>
                <w:lang w:val="en-US"/>
              </w:rPr>
            </w:pPr>
            <w:r>
              <w:rPr>
                <w:sz w:val="20"/>
                <w:szCs w:val="20"/>
                <w:lang w:val="en-US"/>
              </w:rPr>
              <w:t>63,1</w:t>
            </w:r>
          </w:p>
        </w:tc>
        <w:tc>
          <w:tcPr>
            <w:tcW w:w="899" w:type="dxa"/>
            <w:vAlign w:val="center"/>
          </w:tcPr>
          <w:p>
            <w:pPr>
              <w:spacing w:before="20" w:after="20"/>
              <w:jc w:val="center"/>
              <w:rPr>
                <w:sz w:val="20"/>
                <w:szCs w:val="20"/>
                <w:lang w:val="en-US"/>
              </w:rPr>
            </w:pPr>
            <w:r>
              <w:rPr>
                <w:sz w:val="20"/>
                <w:szCs w:val="20"/>
                <w:lang w:val="en-US"/>
              </w:rPr>
              <w:t>70,5</w:t>
            </w:r>
          </w:p>
        </w:tc>
        <w:tc>
          <w:tcPr>
            <w:tcW w:w="899" w:type="dxa"/>
            <w:vAlign w:val="center"/>
          </w:tcPr>
          <w:p>
            <w:pPr>
              <w:spacing w:before="20" w:after="20"/>
              <w:jc w:val="center"/>
              <w:rPr>
                <w:sz w:val="20"/>
                <w:szCs w:val="20"/>
                <w:lang w:val="en-US"/>
              </w:rPr>
            </w:pPr>
            <w:r>
              <w:rPr>
                <w:sz w:val="20"/>
                <w:szCs w:val="20"/>
                <w:lang w:val="en-US"/>
              </w:rPr>
              <w:t>72,9</w:t>
            </w:r>
          </w:p>
        </w:tc>
        <w:tc>
          <w:tcPr>
            <w:tcW w:w="2409" w:type="dxa"/>
            <w:vAlign w:val="center"/>
          </w:tcPr>
          <w:p>
            <w:pPr>
              <w:spacing w:before="20" w:after="20"/>
              <w:rPr>
                <w:sz w:val="20"/>
                <w:szCs w:val="20"/>
              </w:rPr>
            </w:pPr>
            <w:r>
              <w:rPr>
                <w:sz w:val="20"/>
                <w:szCs w:val="20"/>
              </w:rPr>
              <w:t>Данные АО «Газпром газораспределение Одинцово»</w:t>
            </w:r>
          </w:p>
        </w:tc>
      </w:tr>
    </w:tbl>
    <w:p>
      <w:pPr>
        <w:spacing w:before="120" w:after="120"/>
        <w:rPr>
          <w:sz w:val="20"/>
          <w:szCs w:val="20"/>
        </w:rPr>
      </w:pPr>
      <w:r>
        <w:rPr>
          <w:sz w:val="20"/>
          <w:szCs w:val="20"/>
        </w:rPr>
        <w:t xml:space="preserve">Источник: данные газоснабжающих компаний и оценки ООО «ЦТЭС». </w:t>
      </w:r>
    </w:p>
    <w:p>
      <w:pPr>
        <w:pStyle w:val="3"/>
        <w:numPr>
          <w:ilvl w:val="1"/>
          <w:numId w:val="30"/>
        </w:numPr>
        <w:pBdr>
          <w:bottom w:val="single" w:color="auto" w:sz="12" w:space="0"/>
        </w:pBdr>
        <w:tabs>
          <w:tab w:val="left" w:pos="1134"/>
        </w:tabs>
        <w:spacing w:before="120" w:after="200"/>
        <w:ind w:left="1134" w:hanging="567"/>
        <w:rPr>
          <w:rFonts w:ascii="Times New Roman" w:hAnsi="Times New Roman"/>
          <w:i w:val="0"/>
          <w:color w:val="000000"/>
          <w:sz w:val="30"/>
          <w:szCs w:val="30"/>
        </w:rPr>
      </w:pPr>
      <w:bookmarkStart w:id="43" w:name="_Toc21015060"/>
      <w:r>
        <w:rPr>
          <w:rFonts w:ascii="Times New Roman" w:hAnsi="Times New Roman"/>
          <w:i w:val="0"/>
          <w:color w:val="000000"/>
          <w:sz w:val="30"/>
          <w:szCs w:val="30"/>
        </w:rPr>
        <w:t>Целевые показатели развития системы обращения твердых коммунальных отходов</w:t>
      </w:r>
      <w:bookmarkEnd w:id="43"/>
    </w:p>
    <w:p>
      <w:pPr>
        <w:spacing w:before="120" w:after="120" w:line="360" w:lineRule="auto"/>
        <w:ind w:firstLine="448"/>
        <w:jc w:val="both"/>
        <w:rPr>
          <w:color w:val="000000"/>
          <w:sz w:val="28"/>
          <w:szCs w:val="28"/>
        </w:rPr>
      </w:pPr>
      <w:r>
        <w:rPr>
          <w:color w:val="000000"/>
          <w:sz w:val="28"/>
          <w:szCs w:val="28"/>
        </w:rPr>
        <w:t xml:space="preserve">Перспективные показатели спроса на услуги системы обращения твердых коммунальных отходов представлены в подразделе 2.6 и Приложении 3 к тому 2 «Обосновывающие материалы к Програмному документу».  </w:t>
      </w:r>
    </w:p>
    <w:p>
      <w:pPr>
        <w:spacing w:line="360" w:lineRule="auto"/>
        <w:jc w:val="both"/>
        <w:rPr>
          <w:b/>
          <w:sz w:val="28"/>
          <w:szCs w:val="28"/>
        </w:rPr>
      </w:pPr>
      <w:r>
        <w:rPr>
          <w:b/>
          <w:sz w:val="28"/>
          <w:szCs w:val="28"/>
        </w:rPr>
        <w:t xml:space="preserve">Таблица 4-6. Целевые показатели развития системы обращения ТКО </w:t>
      </w:r>
    </w:p>
    <w:tbl>
      <w:tblPr>
        <w:tblStyle w:val="10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1068"/>
        <w:gridCol w:w="891"/>
        <w:gridCol w:w="891"/>
        <w:gridCol w:w="891"/>
        <w:gridCol w:w="891"/>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056" w:type="dxa"/>
            <w:vAlign w:val="center"/>
          </w:tcPr>
          <w:p>
            <w:pPr>
              <w:spacing w:before="20" w:after="20"/>
              <w:jc w:val="center"/>
              <w:rPr>
                <w:b/>
                <w:sz w:val="20"/>
                <w:szCs w:val="20"/>
              </w:rPr>
            </w:pPr>
            <w:r>
              <w:rPr>
                <w:b/>
                <w:sz w:val="20"/>
                <w:szCs w:val="20"/>
              </w:rPr>
              <w:t>Показатели</w:t>
            </w:r>
          </w:p>
        </w:tc>
        <w:tc>
          <w:tcPr>
            <w:tcW w:w="1068" w:type="dxa"/>
          </w:tcPr>
          <w:p>
            <w:pPr>
              <w:spacing w:before="20" w:after="20"/>
              <w:jc w:val="center"/>
              <w:rPr>
                <w:b/>
                <w:sz w:val="20"/>
                <w:szCs w:val="20"/>
              </w:rPr>
            </w:pPr>
            <w:r>
              <w:rPr>
                <w:b/>
                <w:sz w:val="20"/>
                <w:szCs w:val="20"/>
              </w:rPr>
              <w:t>Ед. изм</w:t>
            </w:r>
          </w:p>
        </w:tc>
        <w:tc>
          <w:tcPr>
            <w:tcW w:w="891" w:type="dxa"/>
            <w:vAlign w:val="center"/>
          </w:tcPr>
          <w:p>
            <w:pPr>
              <w:spacing w:before="20" w:after="20"/>
              <w:jc w:val="center"/>
              <w:rPr>
                <w:b/>
                <w:sz w:val="20"/>
                <w:szCs w:val="20"/>
              </w:rPr>
            </w:pPr>
            <w:r>
              <w:rPr>
                <w:b/>
                <w:sz w:val="20"/>
                <w:szCs w:val="20"/>
              </w:rPr>
              <w:t>2017</w:t>
            </w:r>
          </w:p>
        </w:tc>
        <w:tc>
          <w:tcPr>
            <w:tcW w:w="891" w:type="dxa"/>
            <w:vAlign w:val="center"/>
          </w:tcPr>
          <w:p>
            <w:pPr>
              <w:spacing w:before="20" w:after="20"/>
              <w:jc w:val="center"/>
              <w:rPr>
                <w:b/>
                <w:sz w:val="20"/>
                <w:szCs w:val="20"/>
              </w:rPr>
            </w:pPr>
            <w:r>
              <w:rPr>
                <w:b/>
                <w:sz w:val="20"/>
                <w:szCs w:val="20"/>
              </w:rPr>
              <w:t>2018</w:t>
            </w:r>
          </w:p>
        </w:tc>
        <w:tc>
          <w:tcPr>
            <w:tcW w:w="891" w:type="dxa"/>
            <w:vAlign w:val="center"/>
          </w:tcPr>
          <w:p>
            <w:pPr>
              <w:spacing w:before="20" w:after="20"/>
              <w:jc w:val="center"/>
              <w:rPr>
                <w:b/>
                <w:sz w:val="20"/>
                <w:szCs w:val="20"/>
              </w:rPr>
            </w:pPr>
            <w:r>
              <w:rPr>
                <w:b/>
                <w:sz w:val="20"/>
                <w:szCs w:val="20"/>
              </w:rPr>
              <w:t>2027</w:t>
            </w:r>
          </w:p>
        </w:tc>
        <w:tc>
          <w:tcPr>
            <w:tcW w:w="891" w:type="dxa"/>
            <w:vAlign w:val="center"/>
          </w:tcPr>
          <w:p>
            <w:pPr>
              <w:spacing w:before="20" w:after="20"/>
              <w:jc w:val="center"/>
              <w:rPr>
                <w:b/>
                <w:sz w:val="20"/>
                <w:szCs w:val="20"/>
              </w:rPr>
            </w:pPr>
            <w:r>
              <w:rPr>
                <w:b/>
                <w:sz w:val="20"/>
                <w:szCs w:val="20"/>
              </w:rPr>
              <w:t>2030</w:t>
            </w:r>
          </w:p>
        </w:tc>
        <w:tc>
          <w:tcPr>
            <w:tcW w:w="2384" w:type="dxa"/>
            <w:vAlign w:val="center"/>
          </w:tcPr>
          <w:p>
            <w:pPr>
              <w:spacing w:before="20" w:after="20"/>
              <w:jc w:val="center"/>
              <w:rPr>
                <w:b/>
                <w:sz w:val="20"/>
                <w:szCs w:val="20"/>
              </w:rPr>
            </w:pPr>
            <w:r>
              <w:rPr>
                <w:b/>
                <w:sz w:val="20"/>
                <w:szCs w:val="20"/>
              </w:rPr>
              <w:t>Комментарии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vAlign w:val="center"/>
          </w:tcPr>
          <w:p>
            <w:pPr>
              <w:keepNext/>
              <w:autoSpaceDE w:val="0"/>
              <w:autoSpaceDN w:val="0"/>
              <w:adjustRightInd w:val="0"/>
              <w:spacing w:before="20" w:after="20"/>
              <w:ind w:left="34"/>
              <w:rPr>
                <w:color w:val="000000"/>
                <w:sz w:val="20"/>
                <w:szCs w:val="20"/>
              </w:rPr>
            </w:pPr>
            <w:r>
              <w:rPr>
                <w:color w:val="000000"/>
                <w:sz w:val="20"/>
                <w:szCs w:val="20"/>
              </w:rPr>
              <w:t>Количество рекультивированных свалок (накопленным итогом)</w:t>
            </w:r>
          </w:p>
        </w:tc>
        <w:tc>
          <w:tcPr>
            <w:tcW w:w="1068" w:type="dxa"/>
            <w:vAlign w:val="center"/>
          </w:tcPr>
          <w:p>
            <w:pPr>
              <w:keepNext/>
              <w:autoSpaceDE w:val="0"/>
              <w:autoSpaceDN w:val="0"/>
              <w:adjustRightInd w:val="0"/>
              <w:spacing w:before="20" w:after="20"/>
              <w:jc w:val="center"/>
              <w:rPr>
                <w:color w:val="000000"/>
                <w:sz w:val="20"/>
                <w:szCs w:val="20"/>
              </w:rPr>
            </w:pPr>
            <w:r>
              <w:rPr>
                <w:color w:val="000000"/>
                <w:sz w:val="20"/>
                <w:szCs w:val="20"/>
              </w:rPr>
              <w:t>ед.</w:t>
            </w:r>
          </w:p>
        </w:tc>
        <w:tc>
          <w:tcPr>
            <w:tcW w:w="891" w:type="dxa"/>
            <w:vAlign w:val="center"/>
          </w:tcPr>
          <w:p>
            <w:pPr>
              <w:spacing w:before="20" w:after="20"/>
              <w:jc w:val="center"/>
              <w:rPr>
                <w:sz w:val="20"/>
                <w:szCs w:val="20"/>
              </w:rPr>
            </w:pPr>
            <w:r>
              <w:rPr>
                <w:sz w:val="20"/>
                <w:szCs w:val="20"/>
              </w:rPr>
              <w:t>0</w:t>
            </w:r>
          </w:p>
        </w:tc>
        <w:tc>
          <w:tcPr>
            <w:tcW w:w="891" w:type="dxa"/>
            <w:vAlign w:val="center"/>
          </w:tcPr>
          <w:p>
            <w:pPr>
              <w:spacing w:before="20" w:after="20"/>
              <w:jc w:val="center"/>
              <w:rPr>
                <w:sz w:val="20"/>
                <w:szCs w:val="20"/>
              </w:rPr>
            </w:pPr>
            <w:r>
              <w:rPr>
                <w:sz w:val="20"/>
                <w:szCs w:val="20"/>
              </w:rPr>
              <w:t>0</w:t>
            </w:r>
          </w:p>
        </w:tc>
        <w:tc>
          <w:tcPr>
            <w:tcW w:w="891" w:type="dxa"/>
            <w:vAlign w:val="center"/>
          </w:tcPr>
          <w:p>
            <w:pPr>
              <w:spacing w:before="20" w:after="20"/>
              <w:jc w:val="center"/>
              <w:rPr>
                <w:sz w:val="20"/>
                <w:szCs w:val="20"/>
              </w:rPr>
            </w:pPr>
            <w:r>
              <w:rPr>
                <w:sz w:val="20"/>
                <w:szCs w:val="20"/>
              </w:rPr>
              <w:t>3</w:t>
            </w:r>
          </w:p>
        </w:tc>
        <w:tc>
          <w:tcPr>
            <w:tcW w:w="891" w:type="dxa"/>
            <w:vAlign w:val="center"/>
          </w:tcPr>
          <w:p>
            <w:pPr>
              <w:spacing w:before="20" w:after="20"/>
              <w:jc w:val="center"/>
              <w:rPr>
                <w:sz w:val="20"/>
                <w:szCs w:val="20"/>
              </w:rPr>
            </w:pPr>
            <w:r>
              <w:rPr>
                <w:sz w:val="20"/>
                <w:szCs w:val="20"/>
              </w:rPr>
              <w:t>3</w:t>
            </w:r>
          </w:p>
        </w:tc>
        <w:tc>
          <w:tcPr>
            <w:tcW w:w="2384" w:type="dxa"/>
            <w:vAlign w:val="center"/>
          </w:tcPr>
          <w:p>
            <w:pPr>
              <w:spacing w:before="20" w:after="20"/>
              <w:rPr>
                <w:sz w:val="20"/>
                <w:szCs w:val="20"/>
              </w:rPr>
            </w:pPr>
          </w:p>
        </w:tc>
      </w:tr>
    </w:tbl>
    <w:p>
      <w:pPr>
        <w:spacing w:before="120" w:after="120"/>
        <w:rPr>
          <w:sz w:val="20"/>
          <w:szCs w:val="20"/>
        </w:rPr>
      </w:pPr>
      <w:r>
        <w:rPr>
          <w:sz w:val="20"/>
          <w:szCs w:val="20"/>
        </w:rPr>
        <w:t xml:space="preserve">Источник: Территориальная схема обращения с твердыми коммунальными отходами Московской области. </w:t>
      </w:r>
    </w:p>
    <w:p>
      <w:pPr>
        <w:spacing w:before="120" w:after="120" w:line="360" w:lineRule="auto"/>
        <w:ind w:firstLine="448"/>
        <w:jc w:val="both"/>
        <w:rPr>
          <w:rFonts w:eastAsia="Calibri"/>
          <w:i/>
          <w:sz w:val="28"/>
          <w:szCs w:val="28"/>
          <w:lang w:eastAsia="en-US"/>
        </w:rPr>
        <w:sectPr>
          <w:pgSz w:w="11906" w:h="16838"/>
          <w:pgMar w:top="1276" w:right="1134" w:bottom="1134" w:left="1701" w:header="709" w:footer="709" w:gutter="0"/>
          <w:cols w:space="708" w:num="1"/>
          <w:docGrid w:linePitch="381" w:charSpace="0"/>
        </w:sectPr>
      </w:pPr>
      <w:r>
        <w:rPr>
          <w:rFonts w:eastAsia="Calibri"/>
          <w:i/>
          <w:sz w:val="28"/>
          <w:szCs w:val="28"/>
          <w:lang w:eastAsia="en-US"/>
        </w:rPr>
        <w:t xml:space="preserve"> </w:t>
      </w:r>
    </w:p>
    <w:p>
      <w:pPr>
        <w:pStyle w:val="2"/>
        <w:numPr>
          <w:ilvl w:val="0"/>
          <w:numId w:val="30"/>
        </w:numPr>
        <w:spacing w:after="240"/>
        <w:ind w:left="448" w:hanging="448"/>
        <w:rPr>
          <w:rFonts w:ascii="Times New Roman" w:hAnsi="Times New Roman"/>
          <w:sz w:val="30"/>
          <w:szCs w:val="30"/>
        </w:rPr>
      </w:pPr>
      <w:bookmarkStart w:id="44" w:name="_Toc21015061"/>
      <w:r>
        <w:rPr>
          <w:rFonts w:ascii="Times New Roman" w:hAnsi="Times New Roman"/>
          <w:sz w:val="30"/>
          <w:szCs w:val="30"/>
        </w:rPr>
        <w:t>ПРОГРАММА ИНВЕСТИЦИОННЫХ ПРОЕКТОВ, ОБЕСПЕЧИВАЮЩИХ ДОСТИЖЕНИЕ ЦЕЛЕВЫХ ПОКАЗАТЕЛЕЙ</w:t>
      </w:r>
      <w:bookmarkEnd w:id="44"/>
    </w:p>
    <w:p>
      <w:pPr>
        <w:tabs>
          <w:tab w:val="left" w:pos="1276"/>
        </w:tabs>
        <w:spacing w:line="360" w:lineRule="auto"/>
        <w:ind w:firstLine="567"/>
        <w:jc w:val="both"/>
        <w:rPr>
          <w:color w:val="000000"/>
          <w:sz w:val="28"/>
          <w:szCs w:val="28"/>
        </w:rPr>
      </w:pPr>
      <w:r>
        <w:rPr>
          <w:color w:val="000000"/>
          <w:sz w:val="28"/>
          <w:szCs w:val="28"/>
        </w:rPr>
        <w:t xml:space="preserve">Общая программа проектов помимо описываемых ниже инвестиционных проектов также включает расходы на актуализацию настоящей Программы. Данное мероприятие рассматривается в качестве необходимого при утверждении инвестиционных надбавок в тарифах.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45" w:name="_Toc21015062"/>
      <w:r>
        <w:rPr>
          <w:rFonts w:ascii="Times New Roman" w:hAnsi="Times New Roman"/>
          <w:i w:val="0"/>
          <w:color w:val="000000"/>
          <w:sz w:val="30"/>
          <w:szCs w:val="30"/>
        </w:rPr>
        <w:t>Программа инвестиционных проектов в системе теплоснабжения</w:t>
      </w:r>
      <w:bookmarkEnd w:id="45"/>
    </w:p>
    <w:p>
      <w:pPr>
        <w:tabs>
          <w:tab w:val="left" w:pos="1276"/>
        </w:tabs>
        <w:spacing w:line="360" w:lineRule="auto"/>
        <w:ind w:firstLine="567"/>
        <w:jc w:val="both"/>
        <w:rPr>
          <w:color w:val="000000"/>
          <w:sz w:val="28"/>
          <w:szCs w:val="28"/>
        </w:rPr>
      </w:pPr>
      <w:r>
        <w:rPr>
          <w:color w:val="000000"/>
          <w:sz w:val="28"/>
          <w:szCs w:val="28"/>
        </w:rPr>
        <w:t xml:space="preserve">Мероприятия по системе теплоснабжения распределены по следующим группам: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прокладка трубопроводов;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реконструкция трубопроводов;</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замена трубопроводов;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строительство котельных;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реконструкция котельных;</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реконструкция ЦТП;</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замена котлоагрегатов. </w:t>
      </w:r>
    </w:p>
    <w:p>
      <w:pPr>
        <w:tabs>
          <w:tab w:val="left" w:pos="1276"/>
        </w:tabs>
        <w:spacing w:line="360" w:lineRule="auto"/>
        <w:ind w:firstLine="567"/>
        <w:jc w:val="both"/>
        <w:rPr>
          <w:color w:val="000000"/>
          <w:sz w:val="28"/>
          <w:szCs w:val="28"/>
        </w:rPr>
      </w:pPr>
      <w:r>
        <w:rPr>
          <w:color w:val="000000"/>
          <w:sz w:val="28"/>
          <w:szCs w:val="28"/>
        </w:rPr>
        <w:t xml:space="preserve">Объемы применения мероприятий были взяты из Схемы теплоснабжения территориального управления Одинцово. </w:t>
      </w:r>
    </w:p>
    <w:p>
      <w:pPr>
        <w:spacing w:line="360" w:lineRule="auto"/>
        <w:ind w:firstLine="567"/>
        <w:jc w:val="both"/>
        <w:rPr>
          <w:color w:val="000000"/>
          <w:sz w:val="28"/>
          <w:szCs w:val="28"/>
        </w:rPr>
      </w:pPr>
      <w:r>
        <w:rPr>
          <w:color w:val="000000"/>
          <w:sz w:val="28"/>
          <w:szCs w:val="28"/>
        </w:rPr>
        <w:t xml:space="preserve">Распределение стоимости мероприятий по источникам финансирования было также произведено в соответствии со Схемой теплоснабжения территориального управления Одинцово. </w:t>
      </w:r>
    </w:p>
    <w:p>
      <w:pPr>
        <w:tabs>
          <w:tab w:val="left" w:pos="1276"/>
        </w:tabs>
        <w:spacing w:line="360" w:lineRule="auto"/>
        <w:ind w:firstLine="567"/>
        <w:jc w:val="both"/>
        <w:rPr>
          <w:color w:val="000000"/>
          <w:sz w:val="28"/>
          <w:szCs w:val="28"/>
        </w:rPr>
      </w:pPr>
      <w:r>
        <w:rPr>
          <w:color w:val="000000"/>
          <w:sz w:val="28"/>
          <w:szCs w:val="28"/>
        </w:rPr>
        <w:t xml:space="preserve"> 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котлоагрегатов и трубопроводов отопления и горячего водоснабжения, реконструкции ЦТП и котельных. Мероприятия по замене котлоагрегатов, реконструкции котельных и ЦТП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быстроокупаемых.  </w:t>
      </w:r>
    </w:p>
    <w:p>
      <w:pPr>
        <w:spacing w:line="360" w:lineRule="auto"/>
        <w:ind w:firstLine="567"/>
        <w:jc w:val="both"/>
        <w:rPr>
          <w:color w:val="000000"/>
          <w:sz w:val="28"/>
          <w:szCs w:val="28"/>
        </w:rPr>
      </w:pPr>
      <w:r>
        <w:rPr>
          <w:color w:val="000000"/>
          <w:sz w:val="28"/>
          <w:szCs w:val="28"/>
        </w:rPr>
        <w:t>За период реализации настоящей Программы на инвестиционные проекты в системе теплоснабжения предполагается потратить около 4695,4 млн руб. в текущих ценах.</w:t>
      </w:r>
    </w:p>
    <w:p>
      <w:pPr>
        <w:spacing w:line="360" w:lineRule="auto"/>
        <w:ind w:firstLine="567"/>
        <w:jc w:val="both"/>
        <w:rPr>
          <w:color w:val="000000"/>
          <w:sz w:val="28"/>
          <w:szCs w:val="28"/>
        </w:rPr>
      </w:pPr>
      <w:r>
        <w:rPr>
          <w:color w:val="000000"/>
          <w:sz w:val="28"/>
          <w:szCs w:val="28"/>
        </w:rPr>
        <w:t xml:space="preserve">. Программа инвестиционных проектов в системе теплоснабжения представлена в Приложении 9 к тому 2 «Обосновывающие материалы».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46" w:name="_Toc21015063"/>
      <w:r>
        <w:rPr>
          <w:rFonts w:ascii="Times New Roman" w:hAnsi="Times New Roman"/>
          <w:i w:val="0"/>
          <w:color w:val="000000"/>
          <w:sz w:val="30"/>
          <w:szCs w:val="30"/>
        </w:rPr>
        <w:t>Программа инвестиционных проектов в системе водоснабжения</w:t>
      </w:r>
      <w:bookmarkEnd w:id="46"/>
    </w:p>
    <w:p>
      <w:pPr>
        <w:tabs>
          <w:tab w:val="left" w:pos="1276"/>
        </w:tabs>
        <w:spacing w:line="360" w:lineRule="auto"/>
        <w:ind w:firstLine="567"/>
        <w:jc w:val="both"/>
        <w:rPr>
          <w:color w:val="000000"/>
          <w:sz w:val="28"/>
          <w:szCs w:val="28"/>
        </w:rPr>
      </w:pPr>
      <w:r>
        <w:rPr>
          <w:color w:val="000000"/>
          <w:sz w:val="28"/>
          <w:szCs w:val="28"/>
        </w:rPr>
        <w:t xml:space="preserve">Мероприятия по системе водоснабжения распределены по следующим группам: </w:t>
      </w:r>
    </w:p>
    <w:p>
      <w:pPr>
        <w:numPr>
          <w:ilvl w:val="0"/>
          <w:numId w:val="56"/>
        </w:numPr>
        <w:tabs>
          <w:tab w:val="left" w:pos="1134"/>
        </w:tabs>
        <w:spacing w:line="360" w:lineRule="auto"/>
        <w:ind w:left="1134" w:hanging="567"/>
        <w:jc w:val="both"/>
        <w:rPr>
          <w:sz w:val="28"/>
          <w:szCs w:val="28"/>
        </w:rPr>
      </w:pPr>
      <w:r>
        <w:rPr>
          <w:sz w:val="28"/>
          <w:szCs w:val="28"/>
        </w:rPr>
        <w:t>замена и реконструкция водопроводов;</w:t>
      </w:r>
    </w:p>
    <w:p>
      <w:pPr>
        <w:numPr>
          <w:ilvl w:val="0"/>
          <w:numId w:val="56"/>
        </w:numPr>
        <w:tabs>
          <w:tab w:val="left" w:pos="1134"/>
        </w:tabs>
        <w:spacing w:line="360" w:lineRule="auto"/>
        <w:ind w:left="1134" w:hanging="567"/>
        <w:jc w:val="both"/>
        <w:rPr>
          <w:sz w:val="28"/>
          <w:szCs w:val="28"/>
        </w:rPr>
      </w:pPr>
      <w:r>
        <w:rPr>
          <w:sz w:val="28"/>
          <w:szCs w:val="28"/>
        </w:rPr>
        <w:t>реконструкция и строительство ВЗУ и насосных станций;</w:t>
      </w:r>
    </w:p>
    <w:p>
      <w:pPr>
        <w:numPr>
          <w:ilvl w:val="0"/>
          <w:numId w:val="56"/>
        </w:numPr>
        <w:tabs>
          <w:tab w:val="left" w:pos="1134"/>
        </w:tabs>
        <w:spacing w:line="360" w:lineRule="auto"/>
        <w:ind w:left="1134" w:hanging="567"/>
        <w:jc w:val="both"/>
        <w:rPr>
          <w:sz w:val="28"/>
          <w:szCs w:val="28"/>
        </w:rPr>
      </w:pPr>
      <w:r>
        <w:rPr>
          <w:sz w:val="28"/>
          <w:szCs w:val="28"/>
        </w:rPr>
        <w:t>установка системы диспетчеризации и мониторинга;</w:t>
      </w:r>
    </w:p>
    <w:p>
      <w:pPr>
        <w:numPr>
          <w:ilvl w:val="0"/>
          <w:numId w:val="56"/>
        </w:numPr>
        <w:tabs>
          <w:tab w:val="left" w:pos="1134"/>
        </w:tabs>
        <w:spacing w:line="360" w:lineRule="auto"/>
        <w:ind w:left="1134" w:hanging="567"/>
        <w:jc w:val="both"/>
        <w:rPr>
          <w:sz w:val="28"/>
          <w:szCs w:val="28"/>
        </w:rPr>
      </w:pPr>
      <w:r>
        <w:rPr>
          <w:sz w:val="28"/>
          <w:szCs w:val="28"/>
        </w:rPr>
        <w:t>строительство водопроводов.</w:t>
      </w:r>
    </w:p>
    <w:p>
      <w:pPr>
        <w:spacing w:after="120"/>
        <w:ind w:firstLine="567"/>
        <w:rPr>
          <w:sz w:val="28"/>
          <w:szCs w:val="28"/>
        </w:rPr>
      </w:pPr>
      <w:r>
        <w:rPr>
          <w:sz w:val="28"/>
          <w:szCs w:val="28"/>
        </w:rPr>
        <w:t>Реконструкция водопроводных сооружений включает:</w:t>
      </w:r>
    </w:p>
    <w:p>
      <w:pPr>
        <w:numPr>
          <w:ilvl w:val="0"/>
          <w:numId w:val="56"/>
        </w:numPr>
        <w:tabs>
          <w:tab w:val="left" w:pos="1134"/>
        </w:tabs>
        <w:spacing w:line="360" w:lineRule="auto"/>
        <w:ind w:left="1134" w:hanging="567"/>
        <w:jc w:val="both"/>
        <w:rPr>
          <w:sz w:val="28"/>
          <w:szCs w:val="28"/>
        </w:rPr>
      </w:pPr>
      <w:r>
        <w:rPr>
          <w:sz w:val="28"/>
          <w:szCs w:val="28"/>
        </w:rPr>
        <w:t>реконструкцию насосных станций (</w:t>
      </w:r>
      <w:r>
        <w:rPr>
          <w:sz w:val="28"/>
          <w:szCs w:val="28"/>
          <w:lang w:val="en-US"/>
        </w:rPr>
        <w:t>I</w:t>
      </w:r>
      <w:r>
        <w:rPr>
          <w:sz w:val="28"/>
          <w:szCs w:val="28"/>
        </w:rPr>
        <w:t>, II и III подъемов) с заменой насосного оборудования;</w:t>
      </w:r>
    </w:p>
    <w:p>
      <w:pPr>
        <w:numPr>
          <w:ilvl w:val="0"/>
          <w:numId w:val="56"/>
        </w:numPr>
        <w:tabs>
          <w:tab w:val="left" w:pos="1134"/>
        </w:tabs>
        <w:spacing w:line="360" w:lineRule="auto"/>
        <w:ind w:left="1134" w:hanging="567"/>
        <w:jc w:val="both"/>
        <w:rPr>
          <w:sz w:val="28"/>
          <w:szCs w:val="28"/>
        </w:rPr>
      </w:pPr>
      <w:r>
        <w:rPr>
          <w:sz w:val="28"/>
          <w:szCs w:val="28"/>
        </w:rPr>
        <w:t>установку систем обеззараживания питьевой воды на водозаборах;</w:t>
      </w:r>
    </w:p>
    <w:p>
      <w:pPr>
        <w:numPr>
          <w:ilvl w:val="0"/>
          <w:numId w:val="56"/>
        </w:numPr>
        <w:tabs>
          <w:tab w:val="left" w:pos="1134"/>
        </w:tabs>
        <w:spacing w:line="360" w:lineRule="auto"/>
        <w:ind w:left="1134" w:hanging="567"/>
        <w:jc w:val="both"/>
        <w:rPr>
          <w:sz w:val="28"/>
          <w:szCs w:val="28"/>
        </w:rPr>
      </w:pPr>
      <w:r>
        <w:rPr>
          <w:sz w:val="28"/>
          <w:szCs w:val="28"/>
        </w:rPr>
        <w:t>реконструкцию водопроводных очистных сооружений (ВОС);</w:t>
      </w:r>
    </w:p>
    <w:p>
      <w:pPr>
        <w:numPr>
          <w:ilvl w:val="0"/>
          <w:numId w:val="56"/>
        </w:numPr>
        <w:tabs>
          <w:tab w:val="left" w:pos="1134"/>
        </w:tabs>
        <w:spacing w:line="360" w:lineRule="auto"/>
        <w:ind w:left="1134" w:hanging="567"/>
        <w:jc w:val="both"/>
        <w:rPr>
          <w:sz w:val="28"/>
          <w:szCs w:val="28"/>
        </w:rPr>
      </w:pPr>
      <w:r>
        <w:rPr>
          <w:sz w:val="28"/>
          <w:szCs w:val="28"/>
        </w:rPr>
        <w:t>замену изношенных сетей.</w:t>
      </w:r>
    </w:p>
    <w:p>
      <w:pPr>
        <w:spacing w:line="360" w:lineRule="auto"/>
        <w:ind w:firstLine="567"/>
        <w:jc w:val="both"/>
        <w:rPr>
          <w:color w:val="000000"/>
          <w:sz w:val="28"/>
          <w:szCs w:val="28"/>
        </w:rPr>
      </w:pPr>
      <w:r>
        <w:rPr>
          <w:color w:val="000000"/>
          <w:sz w:val="28"/>
          <w:szCs w:val="28"/>
        </w:rPr>
        <w:t xml:space="preserve">Перечень и стоимость мероприятий была взяты из Схемы водоснабжения территориального управления Одинцово. </w:t>
      </w:r>
    </w:p>
    <w:p>
      <w:pPr>
        <w:spacing w:line="360" w:lineRule="auto"/>
        <w:ind w:firstLine="567"/>
        <w:jc w:val="both"/>
        <w:rPr>
          <w:color w:val="000000"/>
          <w:sz w:val="28"/>
          <w:szCs w:val="28"/>
        </w:rPr>
      </w:pPr>
      <w:r>
        <w:rPr>
          <w:color w:val="000000"/>
          <w:sz w:val="28"/>
          <w:szCs w:val="28"/>
        </w:rPr>
        <w:t>Мероприятия и их стоимость по прокладке и реконструкции трубопроводов, а также строительству и реконструкции водозаборных сооружений, направленные на присоединение новых потребителей, финансируются за счет платы за технологическое присоединение и протяженность сети. Мероприятия по замене трубопроводов, реконструкция ВЗУ, насосных станций</w:t>
      </w:r>
      <w:r>
        <w:rPr>
          <w:sz w:val="28"/>
          <w:szCs w:val="28"/>
        </w:rPr>
        <w:t xml:space="preserve"> и у</w:t>
      </w:r>
      <w:r>
        <w:rPr>
          <w:color w:val="000000"/>
          <w:sz w:val="28"/>
          <w:szCs w:val="28"/>
        </w:rPr>
        <w:t>становки системы диспетчеризации и мониторинга ПУ финансируются за счет капитальных вложений из прибыли.</w:t>
      </w:r>
    </w:p>
    <w:p>
      <w:pPr>
        <w:tabs>
          <w:tab w:val="left" w:pos="1276"/>
        </w:tabs>
        <w:spacing w:line="360" w:lineRule="auto"/>
        <w:ind w:firstLine="567"/>
        <w:jc w:val="both"/>
        <w:rPr>
          <w:color w:val="000000"/>
          <w:sz w:val="28"/>
          <w:szCs w:val="28"/>
        </w:rPr>
      </w:pPr>
      <w:r>
        <w:rPr>
          <w:color w:val="000000"/>
          <w:sz w:val="28"/>
          <w:szCs w:val="28"/>
        </w:rPr>
        <w:t xml:space="preserve">Экономию топливно-энергетических ресурсов (электрическая энергия) и воды можно получить в результате реализации мероприятий по замене изношенных трубопроводов и насосного оборудования на водозаборах и насосных станциях. Мероприятия по замене трубопроводов водоснабжения имеют простой срок окупаемости более 15 лет, но тем не менее их реализация важна с точки зрения оказания надежной и качественной услуги водоснабжения. Остальные технические мероприятия в системе водоснабжения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w:t>
      </w:r>
    </w:p>
    <w:p>
      <w:pPr>
        <w:spacing w:line="360" w:lineRule="auto"/>
        <w:ind w:firstLine="709"/>
        <w:jc w:val="both"/>
        <w:rPr>
          <w:color w:val="000000"/>
          <w:sz w:val="28"/>
          <w:szCs w:val="28"/>
        </w:rPr>
      </w:pPr>
      <w:r>
        <w:rPr>
          <w:color w:val="000000"/>
          <w:sz w:val="28"/>
          <w:szCs w:val="28"/>
        </w:rPr>
        <w:t xml:space="preserve">За период реализации настоящей Программы на инвестиционные проекты в системе водоснабжения предполагается потратить 923,1 млн руб. в текущих ценах. Программа инвестиционных проектов в системе водоснабжения представлена в Приложении 9 к тому 2 «Обосновывающие материалы к Програмному документу».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47" w:name="_Toc21015064"/>
      <w:r>
        <w:rPr>
          <w:rFonts w:ascii="Times New Roman" w:hAnsi="Times New Roman"/>
          <w:i w:val="0"/>
          <w:color w:val="000000"/>
          <w:sz w:val="30"/>
          <w:szCs w:val="30"/>
        </w:rPr>
        <w:t>Программа инвестиционных проектов в системе водоотведения</w:t>
      </w:r>
      <w:bookmarkEnd w:id="47"/>
    </w:p>
    <w:p>
      <w:pPr>
        <w:tabs>
          <w:tab w:val="left" w:pos="1276"/>
        </w:tabs>
        <w:spacing w:line="360" w:lineRule="auto"/>
        <w:ind w:firstLine="567"/>
        <w:jc w:val="both"/>
        <w:rPr>
          <w:color w:val="000000"/>
          <w:sz w:val="28"/>
          <w:szCs w:val="28"/>
        </w:rPr>
      </w:pPr>
      <w:r>
        <w:rPr>
          <w:color w:val="000000"/>
          <w:sz w:val="28"/>
          <w:szCs w:val="28"/>
        </w:rPr>
        <w:t xml:space="preserve">Мероприятия по системе водоотведения распределены по следующим группам: </w:t>
      </w:r>
    </w:p>
    <w:p>
      <w:pPr>
        <w:numPr>
          <w:ilvl w:val="0"/>
          <w:numId w:val="56"/>
        </w:numPr>
        <w:tabs>
          <w:tab w:val="left" w:pos="1134"/>
        </w:tabs>
        <w:spacing w:line="360" w:lineRule="auto"/>
        <w:ind w:left="1134" w:hanging="567"/>
        <w:jc w:val="both"/>
        <w:rPr>
          <w:sz w:val="28"/>
          <w:szCs w:val="28"/>
        </w:rPr>
      </w:pPr>
      <w:r>
        <w:rPr>
          <w:sz w:val="28"/>
          <w:szCs w:val="28"/>
        </w:rPr>
        <w:t>замена и реконструкция сетей водоотведения, характеризующихся высоким износом и аварийностью;</w:t>
      </w:r>
    </w:p>
    <w:p>
      <w:pPr>
        <w:numPr>
          <w:ilvl w:val="0"/>
          <w:numId w:val="56"/>
        </w:numPr>
        <w:tabs>
          <w:tab w:val="left" w:pos="1134"/>
        </w:tabs>
        <w:spacing w:line="360" w:lineRule="auto"/>
        <w:ind w:left="1134" w:hanging="567"/>
        <w:jc w:val="both"/>
        <w:rPr>
          <w:sz w:val="28"/>
          <w:szCs w:val="28"/>
        </w:rPr>
      </w:pPr>
      <w:r>
        <w:rPr>
          <w:sz w:val="28"/>
          <w:szCs w:val="28"/>
        </w:rPr>
        <w:t>строительство канализационных трубопроводов;</w:t>
      </w:r>
    </w:p>
    <w:p>
      <w:pPr>
        <w:numPr>
          <w:ilvl w:val="0"/>
          <w:numId w:val="56"/>
        </w:numPr>
        <w:tabs>
          <w:tab w:val="left" w:pos="1134"/>
        </w:tabs>
        <w:spacing w:line="360" w:lineRule="auto"/>
        <w:ind w:left="1134" w:hanging="567"/>
        <w:jc w:val="both"/>
        <w:rPr>
          <w:sz w:val="28"/>
          <w:szCs w:val="28"/>
        </w:rPr>
      </w:pPr>
      <w:r>
        <w:rPr>
          <w:sz w:val="28"/>
          <w:szCs w:val="28"/>
        </w:rPr>
        <w:t>строительство очистных сооружений поверхностного стока;</w:t>
      </w:r>
    </w:p>
    <w:p>
      <w:pPr>
        <w:numPr>
          <w:ilvl w:val="0"/>
          <w:numId w:val="56"/>
        </w:numPr>
        <w:tabs>
          <w:tab w:val="left" w:pos="1134"/>
        </w:tabs>
        <w:spacing w:line="360" w:lineRule="auto"/>
        <w:ind w:left="851" w:hanging="284"/>
        <w:jc w:val="both"/>
        <w:rPr>
          <w:sz w:val="28"/>
          <w:szCs w:val="28"/>
        </w:rPr>
      </w:pPr>
      <w:r>
        <w:rPr>
          <w:sz w:val="28"/>
          <w:szCs w:val="28"/>
        </w:rPr>
        <w:t>строительство закрытой сети дождевой канализации.</w:t>
      </w:r>
    </w:p>
    <w:p>
      <w:pPr>
        <w:spacing w:line="360" w:lineRule="auto"/>
        <w:ind w:firstLine="567"/>
        <w:jc w:val="both"/>
        <w:rPr>
          <w:color w:val="000000"/>
          <w:sz w:val="28"/>
          <w:szCs w:val="28"/>
        </w:rPr>
      </w:pPr>
      <w:r>
        <w:rPr>
          <w:color w:val="000000"/>
          <w:sz w:val="28"/>
          <w:szCs w:val="28"/>
        </w:rPr>
        <w:t xml:space="preserve">Перечень и стоимость мероприятий была взяты из Схемы водоотведения территориального управления Одинцово. </w:t>
      </w:r>
    </w:p>
    <w:p>
      <w:pPr>
        <w:tabs>
          <w:tab w:val="left" w:pos="1276"/>
        </w:tabs>
        <w:spacing w:line="360" w:lineRule="auto"/>
        <w:ind w:firstLine="567"/>
        <w:jc w:val="both"/>
        <w:rPr>
          <w:color w:val="000000"/>
          <w:sz w:val="28"/>
          <w:szCs w:val="28"/>
        </w:rPr>
      </w:pPr>
      <w:r>
        <w:rPr>
          <w:color w:val="000000"/>
          <w:sz w:val="28"/>
          <w:szCs w:val="28"/>
        </w:rPr>
        <w:t xml:space="preserve">Мероприятия и их стоимость по прокладке и реконструкции канализационных трубопроводов, направленные на присоединение новых потребителей, финансируются за счет платы за технологическое присоединение. Мероприятия по замене канализационных трубопроводов финансируются за счет капитальных вложений из прибыли.  </w:t>
      </w:r>
    </w:p>
    <w:p>
      <w:pPr>
        <w:tabs>
          <w:tab w:val="left" w:pos="1276"/>
        </w:tabs>
        <w:spacing w:line="360" w:lineRule="auto"/>
        <w:ind w:firstLine="567"/>
        <w:jc w:val="both"/>
        <w:rPr>
          <w:color w:val="000000"/>
          <w:sz w:val="28"/>
          <w:szCs w:val="28"/>
        </w:rPr>
      </w:pPr>
      <w:r>
        <w:rPr>
          <w:color w:val="000000"/>
          <w:sz w:val="28"/>
          <w:szCs w:val="28"/>
        </w:rPr>
        <w:t xml:space="preserve">Экономию топливно-энергетических ресурсов (электрическая энергия) можно получить в результате реализации мероприятий по замене и реконструкции канализационных трубопроводов. Мероприятия по замене канализационных трубопроводов имеют простой срок окупаемости более 15 лет, но тем не менее их реализация важна с точки зрения оказания надежной и качественной услуги водоотведения. Остальные технические мероприятия в системе водоотведения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w:t>
      </w:r>
    </w:p>
    <w:p>
      <w:pPr>
        <w:spacing w:line="360" w:lineRule="auto"/>
        <w:ind w:firstLine="709"/>
        <w:jc w:val="both"/>
        <w:rPr>
          <w:color w:val="000000"/>
          <w:sz w:val="28"/>
          <w:szCs w:val="28"/>
        </w:rPr>
      </w:pPr>
      <w:r>
        <w:rPr>
          <w:color w:val="000000"/>
          <w:sz w:val="28"/>
          <w:szCs w:val="28"/>
        </w:rPr>
        <w:t xml:space="preserve">За период реализации настоящей Программы на инвестиционные проекты в системе водоотведения предполагается потратить 865,5млн руб. в текущих ценах. Программа инвестиционных проектов в системе водоотведения представлена в Приложении 9 к тому 2 «Обосновывающие материалы».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48" w:name="_Toc21015065"/>
      <w:r>
        <w:rPr>
          <w:rFonts w:ascii="Times New Roman" w:hAnsi="Times New Roman"/>
          <w:i w:val="0"/>
          <w:color w:val="000000"/>
          <w:sz w:val="30"/>
          <w:szCs w:val="30"/>
        </w:rPr>
        <w:t>Программа инвестиционных проектов в системе электроснабжения</w:t>
      </w:r>
      <w:bookmarkEnd w:id="48"/>
    </w:p>
    <w:p>
      <w:pPr>
        <w:tabs>
          <w:tab w:val="left" w:pos="1276"/>
        </w:tabs>
        <w:spacing w:line="360" w:lineRule="auto"/>
        <w:ind w:firstLine="567"/>
        <w:jc w:val="both"/>
        <w:rPr>
          <w:color w:val="000000"/>
          <w:sz w:val="28"/>
          <w:szCs w:val="28"/>
        </w:rPr>
      </w:pPr>
      <w:r>
        <w:rPr>
          <w:color w:val="000000"/>
          <w:sz w:val="28"/>
          <w:szCs w:val="28"/>
        </w:rPr>
        <w:t xml:space="preserve">Мероприятия по системе электроснабжения распределены по следующим группам: </w:t>
      </w:r>
    </w:p>
    <w:p>
      <w:pPr>
        <w:pStyle w:val="154"/>
        <w:numPr>
          <w:ilvl w:val="0"/>
          <w:numId w:val="55"/>
        </w:numPr>
        <w:tabs>
          <w:tab w:val="left" w:pos="1134"/>
        </w:tabs>
        <w:spacing w:line="360" w:lineRule="auto"/>
        <w:ind w:left="1134" w:hanging="567"/>
        <w:jc w:val="both"/>
        <w:rPr>
          <w:color w:val="000000"/>
          <w:sz w:val="28"/>
          <w:szCs w:val="28"/>
        </w:rPr>
      </w:pPr>
      <w:r>
        <w:rPr>
          <w:sz w:val="28"/>
          <w:szCs w:val="28"/>
        </w:rPr>
        <w:t>строительство электросетей КЛ 10 кВ;</w:t>
      </w:r>
    </w:p>
    <w:p>
      <w:pPr>
        <w:pStyle w:val="154"/>
        <w:numPr>
          <w:ilvl w:val="0"/>
          <w:numId w:val="55"/>
        </w:numPr>
        <w:tabs>
          <w:tab w:val="left" w:pos="1134"/>
        </w:tabs>
        <w:spacing w:line="360" w:lineRule="auto"/>
        <w:ind w:left="1134" w:hanging="567"/>
        <w:jc w:val="both"/>
        <w:rPr>
          <w:color w:val="000000"/>
          <w:sz w:val="28"/>
          <w:szCs w:val="28"/>
        </w:rPr>
      </w:pPr>
      <w:r>
        <w:rPr>
          <w:sz w:val="28"/>
          <w:szCs w:val="28"/>
        </w:rPr>
        <w:t>строительство электросетей КЛ 0,4 кВ;</w:t>
      </w:r>
    </w:p>
    <w:p>
      <w:pPr>
        <w:pStyle w:val="154"/>
        <w:numPr>
          <w:ilvl w:val="0"/>
          <w:numId w:val="55"/>
        </w:numPr>
        <w:tabs>
          <w:tab w:val="left" w:pos="1134"/>
        </w:tabs>
        <w:spacing w:line="360" w:lineRule="auto"/>
        <w:ind w:left="1134" w:hanging="567"/>
        <w:jc w:val="both"/>
        <w:rPr>
          <w:color w:val="000000"/>
          <w:sz w:val="28"/>
          <w:szCs w:val="28"/>
        </w:rPr>
      </w:pPr>
      <w:r>
        <w:rPr>
          <w:sz w:val="28"/>
          <w:szCs w:val="28"/>
        </w:rPr>
        <w:t>строительство электросетей ВЛ СИП 0,4 кВ;</w:t>
      </w:r>
    </w:p>
    <w:p>
      <w:pPr>
        <w:pStyle w:val="154"/>
        <w:numPr>
          <w:ilvl w:val="0"/>
          <w:numId w:val="55"/>
        </w:numPr>
        <w:tabs>
          <w:tab w:val="left" w:pos="1134"/>
        </w:tabs>
        <w:spacing w:line="360" w:lineRule="auto"/>
        <w:ind w:left="1134" w:hanging="567"/>
        <w:jc w:val="both"/>
        <w:rPr>
          <w:color w:val="000000"/>
          <w:sz w:val="28"/>
          <w:szCs w:val="28"/>
        </w:rPr>
      </w:pPr>
      <w:r>
        <w:rPr>
          <w:sz w:val="28"/>
          <w:szCs w:val="28"/>
        </w:rPr>
        <w:t>реконструкция (перекладка) электросетей КЛ 10 кВ;</w:t>
      </w:r>
    </w:p>
    <w:p>
      <w:pPr>
        <w:pStyle w:val="154"/>
        <w:numPr>
          <w:ilvl w:val="0"/>
          <w:numId w:val="55"/>
        </w:numPr>
        <w:tabs>
          <w:tab w:val="left" w:pos="1134"/>
        </w:tabs>
        <w:spacing w:line="360" w:lineRule="auto"/>
        <w:ind w:left="1134" w:hanging="567"/>
        <w:jc w:val="both"/>
        <w:rPr>
          <w:color w:val="000000"/>
          <w:sz w:val="28"/>
          <w:szCs w:val="28"/>
        </w:rPr>
      </w:pPr>
      <w:r>
        <w:rPr>
          <w:sz w:val="28"/>
          <w:szCs w:val="28"/>
        </w:rPr>
        <w:t>реконструкция ТП;</w:t>
      </w:r>
    </w:p>
    <w:p>
      <w:pPr>
        <w:pStyle w:val="154"/>
        <w:numPr>
          <w:ilvl w:val="0"/>
          <w:numId w:val="55"/>
        </w:numPr>
        <w:tabs>
          <w:tab w:val="left" w:pos="1134"/>
        </w:tabs>
        <w:spacing w:line="360" w:lineRule="auto"/>
        <w:ind w:left="1134" w:hanging="567"/>
        <w:jc w:val="both"/>
        <w:rPr>
          <w:color w:val="000000"/>
          <w:sz w:val="28"/>
          <w:szCs w:val="28"/>
        </w:rPr>
      </w:pPr>
      <w:r>
        <w:rPr>
          <w:sz w:val="28"/>
          <w:szCs w:val="28"/>
        </w:rPr>
        <w:t>строительство ТП;</w:t>
      </w:r>
    </w:p>
    <w:p>
      <w:pPr>
        <w:pStyle w:val="154"/>
        <w:numPr>
          <w:ilvl w:val="0"/>
          <w:numId w:val="55"/>
        </w:numPr>
        <w:tabs>
          <w:tab w:val="left" w:pos="1134"/>
        </w:tabs>
        <w:spacing w:line="360" w:lineRule="auto"/>
        <w:ind w:left="1134" w:hanging="567"/>
        <w:jc w:val="both"/>
        <w:rPr>
          <w:color w:val="000000"/>
          <w:sz w:val="28"/>
          <w:szCs w:val="28"/>
        </w:rPr>
      </w:pPr>
      <w:r>
        <w:rPr>
          <w:sz w:val="28"/>
          <w:szCs w:val="28"/>
        </w:rPr>
        <w:t>строительство РП.</w:t>
      </w:r>
    </w:p>
    <w:p>
      <w:pPr>
        <w:tabs>
          <w:tab w:val="left" w:pos="1276"/>
        </w:tabs>
        <w:spacing w:line="360" w:lineRule="auto"/>
        <w:ind w:firstLine="567"/>
        <w:jc w:val="both"/>
        <w:rPr>
          <w:color w:val="000000"/>
          <w:sz w:val="28"/>
          <w:szCs w:val="28"/>
        </w:rPr>
      </w:pPr>
      <w:r>
        <w:rPr>
          <w:color w:val="000000"/>
          <w:sz w:val="28"/>
          <w:szCs w:val="28"/>
        </w:rPr>
        <w:t>Объемы применения мероприятий были определены на основе инвестиционных программ электроснабжающих организаций с учетом нормативного срока их службы и планов по реконструкции и подключению новых потребителей.</w:t>
      </w:r>
    </w:p>
    <w:p>
      <w:pPr>
        <w:tabs>
          <w:tab w:val="left" w:pos="1276"/>
        </w:tabs>
        <w:spacing w:line="360" w:lineRule="auto"/>
        <w:ind w:firstLine="567"/>
        <w:jc w:val="both"/>
        <w:rPr>
          <w:color w:val="000000"/>
          <w:sz w:val="28"/>
          <w:szCs w:val="28"/>
        </w:rPr>
      </w:pPr>
      <w:r>
        <w:rPr>
          <w:color w:val="000000"/>
          <w:sz w:val="28"/>
          <w:szCs w:val="28"/>
        </w:rPr>
        <w:t xml:space="preserve">Мероприятия и их стоимость по прокладке и реконструкции сетей, а также строительству подстанций, направленные на присоединение новых потребителей финансируются за счет платы за технологическое присоединение. Мероприятия по замене сетей и реконструкции РТ и ТП финансируются из инвестиционной составляющей. </w:t>
      </w:r>
    </w:p>
    <w:p>
      <w:pPr>
        <w:spacing w:line="360" w:lineRule="auto"/>
        <w:ind w:firstLine="567"/>
        <w:jc w:val="both"/>
        <w:rPr>
          <w:color w:val="000000"/>
          <w:sz w:val="28"/>
          <w:szCs w:val="28"/>
        </w:rPr>
      </w:pPr>
      <w:r>
        <w:rPr>
          <w:color w:val="000000"/>
          <w:sz w:val="28"/>
          <w:szCs w:val="28"/>
        </w:rPr>
        <w:t xml:space="preserve">В дальнейшем цены изменялись по годам в соответствии с индексом цен на строительные работы. Финансовая нагрузка на муниципальный бюджет в части повышения обеспеченности услугой электроснабжения небольшая. </w:t>
      </w:r>
    </w:p>
    <w:p>
      <w:pPr>
        <w:spacing w:line="360" w:lineRule="auto"/>
        <w:ind w:firstLine="567"/>
        <w:jc w:val="both"/>
        <w:rPr>
          <w:color w:val="000000"/>
          <w:sz w:val="28"/>
          <w:szCs w:val="28"/>
        </w:rPr>
      </w:pPr>
      <w:r>
        <w:rPr>
          <w:color w:val="000000"/>
          <w:sz w:val="28"/>
          <w:szCs w:val="28"/>
        </w:rPr>
        <w:t xml:space="preserve">За период реализации настоящей Программы на инвестиционные проекты в системе электроснабжения предполагается потратить </w:t>
      </w:r>
      <w:r>
        <w:rPr>
          <w:b/>
          <w:color w:val="000000"/>
          <w:sz w:val="28"/>
          <w:szCs w:val="28"/>
        </w:rPr>
        <w:t>660,88</w:t>
      </w:r>
      <w:r>
        <w:rPr>
          <w:color w:val="000000"/>
          <w:sz w:val="28"/>
          <w:szCs w:val="28"/>
        </w:rPr>
        <w:t xml:space="preserve"> млн руб. в текущих ценах. </w:t>
      </w:r>
    </w:p>
    <w:p>
      <w:pPr>
        <w:spacing w:line="360" w:lineRule="auto"/>
        <w:ind w:firstLine="709"/>
        <w:jc w:val="both"/>
        <w:rPr>
          <w:color w:val="000000"/>
          <w:sz w:val="28"/>
          <w:szCs w:val="28"/>
        </w:rPr>
      </w:pPr>
      <w:r>
        <w:rPr>
          <w:color w:val="000000"/>
          <w:sz w:val="28"/>
          <w:szCs w:val="28"/>
        </w:rPr>
        <w:t xml:space="preserve">Программа инвестиционных проектов в системе электроснабжения представлена в Приложении 9 к тому 2 «Обосновывающие материалы».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49" w:name="_Toc21015066"/>
      <w:r>
        <w:rPr>
          <w:rFonts w:ascii="Times New Roman" w:hAnsi="Times New Roman"/>
          <w:i w:val="0"/>
          <w:color w:val="000000"/>
          <w:sz w:val="30"/>
          <w:szCs w:val="30"/>
        </w:rPr>
        <w:t>Программа инвестиционных проектов в системе газоснабжения</w:t>
      </w:r>
      <w:bookmarkEnd w:id="49"/>
    </w:p>
    <w:p>
      <w:pPr>
        <w:tabs>
          <w:tab w:val="left" w:pos="1276"/>
        </w:tabs>
        <w:spacing w:line="360" w:lineRule="auto"/>
        <w:ind w:firstLine="567"/>
        <w:jc w:val="both"/>
        <w:rPr>
          <w:color w:val="000000"/>
          <w:sz w:val="28"/>
          <w:szCs w:val="28"/>
        </w:rPr>
      </w:pPr>
      <w:r>
        <w:rPr>
          <w:color w:val="000000"/>
          <w:sz w:val="28"/>
          <w:szCs w:val="28"/>
        </w:rPr>
        <w:t xml:space="preserve"> В системе газоснабжения основная организация, действующая на территории муниципального образования и осуществляющая техническую эксплуатацию объектов, имеет горизонт инвестиционного планирования равный одному году. АО «Газпром газораспределение Одинцово» не передал инвестиционную программу ООО «ЦТЭС» и, соответственно, потенциально содержащиеся в ней мероприятия, относящиеся к системе газоснабжения, в программу комплексного развития системы коммунальной инфраструктуры включены не были. </w:t>
      </w:r>
    </w:p>
    <w:p>
      <w:pPr>
        <w:tabs>
          <w:tab w:val="left" w:pos="1276"/>
        </w:tabs>
        <w:spacing w:line="360" w:lineRule="auto"/>
        <w:ind w:firstLine="567"/>
        <w:jc w:val="both"/>
        <w:rPr>
          <w:color w:val="000000"/>
          <w:sz w:val="28"/>
          <w:szCs w:val="28"/>
        </w:rPr>
      </w:pPr>
      <w:r>
        <w:rPr>
          <w:color w:val="000000"/>
          <w:sz w:val="28"/>
          <w:szCs w:val="28"/>
        </w:rPr>
        <w:t xml:space="preserve">Региональная программа газификации Московской области на 2017-2021 гг. имеет ряд существенных недостатков, основной из которых – отсутствие титульного списка по мероприятиям, в результате чего нет возможности вычленить те, что относятся непосредственно к ТУ Одинцово и, следовательно, она не может быть использована для формирования перечня инвестиционных проектов. </w:t>
      </w:r>
    </w:p>
    <w:p>
      <w:pPr>
        <w:tabs>
          <w:tab w:val="left" w:pos="1276"/>
        </w:tabs>
        <w:spacing w:line="360" w:lineRule="auto"/>
        <w:ind w:firstLine="567"/>
        <w:jc w:val="both"/>
        <w:rPr>
          <w:color w:val="000000"/>
          <w:sz w:val="28"/>
          <w:szCs w:val="28"/>
        </w:rPr>
      </w:pPr>
      <w:r>
        <w:rPr>
          <w:color w:val="000000"/>
          <w:sz w:val="28"/>
          <w:szCs w:val="28"/>
        </w:rPr>
        <w:t xml:space="preserve">В Генеральном плане также отсутствует информация о мероприятиях в системе газоснабжения. </w:t>
      </w:r>
    </w:p>
    <w:p>
      <w:pPr>
        <w:tabs>
          <w:tab w:val="left" w:pos="1276"/>
        </w:tabs>
        <w:spacing w:line="360" w:lineRule="auto"/>
        <w:ind w:firstLine="567"/>
        <w:jc w:val="both"/>
        <w:rPr>
          <w:color w:val="000000"/>
          <w:sz w:val="28"/>
          <w:szCs w:val="28"/>
        </w:rPr>
      </w:pPr>
      <w:r>
        <w:rPr>
          <w:color w:val="000000"/>
          <w:sz w:val="28"/>
          <w:szCs w:val="28"/>
        </w:rPr>
        <w:t xml:space="preserve">В настоящей Программе предусмотрены мероприятия по реконструкции газорегуляторных и шкафных распределительных пунктов, и замене металлических газопроводов. Объемы применения по этим инвестиционным проектам определялись на основании данных АО «Газпром газораспределение Одинцово», исходя из необходимости замены 2,5% протяженности газопроводов соответствующих диаметров и реконструкции 3 ГРП и 67 ШРП ежегодно. Замена металлических газопроводов более 100 мм производилась на стальные; до 100 мм – на полимерные аналоги. Также было предусмотрено мероприятие по замене газобаллонного оборудования, реализация которого входит в планы ОАО «Регион» и ООО «Софрино-Газ». Потребность в заменяемых баллонах была определена исходя из ожидаемого спроса на сжиженный газ в ТУ Одинцово.  </w:t>
      </w:r>
    </w:p>
    <w:p>
      <w:pPr>
        <w:tabs>
          <w:tab w:val="left" w:pos="1276"/>
        </w:tabs>
        <w:spacing w:line="360" w:lineRule="auto"/>
        <w:ind w:firstLine="567"/>
        <w:jc w:val="both"/>
        <w:rPr>
          <w:color w:val="000000"/>
          <w:sz w:val="28"/>
          <w:szCs w:val="28"/>
        </w:rPr>
      </w:pPr>
      <w:r>
        <w:rPr>
          <w:color w:val="000000"/>
          <w:sz w:val="28"/>
          <w:szCs w:val="28"/>
        </w:rPr>
        <w:t xml:space="preserve">Более полно мероприятия могут быть сформированы после передачи необходимой информации газоснабжающими и газораспределительными организациями, а также в случае разработки электронной схемы газоснабжения муниципального образования.  </w:t>
      </w:r>
    </w:p>
    <w:p>
      <w:pPr>
        <w:tabs>
          <w:tab w:val="left" w:pos="1276"/>
        </w:tabs>
        <w:spacing w:line="360" w:lineRule="auto"/>
        <w:ind w:firstLine="567"/>
        <w:jc w:val="both"/>
        <w:rPr>
          <w:color w:val="000000"/>
          <w:sz w:val="28"/>
          <w:szCs w:val="28"/>
        </w:rPr>
      </w:pPr>
      <w:r>
        <w:rPr>
          <w:color w:val="000000"/>
          <w:sz w:val="28"/>
          <w:szCs w:val="28"/>
        </w:rPr>
        <w:t xml:space="preserve">Мероприятия финансируются за счет капитальных вложений из прибыли в тарифе.  </w:t>
      </w:r>
    </w:p>
    <w:p>
      <w:pPr>
        <w:tabs>
          <w:tab w:val="left" w:pos="1276"/>
        </w:tabs>
        <w:spacing w:line="360" w:lineRule="auto"/>
        <w:ind w:firstLine="567"/>
        <w:jc w:val="both"/>
        <w:rPr>
          <w:color w:val="000000"/>
          <w:sz w:val="28"/>
          <w:szCs w:val="28"/>
        </w:rPr>
      </w:pPr>
      <w:r>
        <w:rPr>
          <w:color w:val="000000"/>
          <w:sz w:val="28"/>
          <w:szCs w:val="28"/>
        </w:rPr>
        <w:t xml:space="preserve">Стоимость замены металлических газопроводов различных диаметров была получена посредством применения текущих коэффициентов к федеральным единичным расценкам (ФЕР) 2001 г. на прокладку внешних сетей газоснабжения, исходя из способа прокладки (наземная/подземная), необходимых работ (земляные и строительно-монтажные) и материалов (трубы и детали). Для недостающих диаметров была произведена оценка исходя из разницы геометрических конфигураций газопроводов. </w:t>
      </w:r>
    </w:p>
    <w:p>
      <w:pPr>
        <w:spacing w:line="360" w:lineRule="auto"/>
        <w:ind w:firstLine="567"/>
        <w:jc w:val="both"/>
        <w:rPr>
          <w:color w:val="000000"/>
          <w:sz w:val="28"/>
          <w:szCs w:val="28"/>
        </w:rPr>
      </w:pPr>
      <w:r>
        <w:rPr>
          <w:color w:val="000000"/>
          <w:sz w:val="28"/>
          <w:szCs w:val="28"/>
        </w:rPr>
        <w:t xml:space="preserve">В дальнейшем цены изменялись по годам в соответствии с индексом цен на строительные работы. </w:t>
      </w:r>
    </w:p>
    <w:p>
      <w:pPr>
        <w:spacing w:line="360" w:lineRule="auto"/>
        <w:ind w:firstLine="567"/>
        <w:jc w:val="both"/>
        <w:rPr>
          <w:color w:val="000000"/>
          <w:sz w:val="28"/>
          <w:szCs w:val="28"/>
        </w:rPr>
      </w:pPr>
      <w:r>
        <w:rPr>
          <w:color w:val="000000"/>
          <w:sz w:val="28"/>
          <w:szCs w:val="28"/>
        </w:rPr>
        <w:t>Мероприятия в системе газоснабжения реализуются АО «Мособлгаз».</w:t>
      </w:r>
    </w:p>
    <w:p>
      <w:pPr>
        <w:spacing w:line="360" w:lineRule="auto"/>
        <w:ind w:firstLine="567"/>
        <w:jc w:val="both"/>
        <w:rPr>
          <w:color w:val="000000"/>
          <w:sz w:val="28"/>
          <w:szCs w:val="28"/>
        </w:rPr>
      </w:pPr>
      <w:r>
        <w:rPr>
          <w:color w:val="000000"/>
          <w:sz w:val="28"/>
          <w:szCs w:val="28"/>
        </w:rPr>
        <w:t xml:space="preserve">Экономию природного газа можно получить в результате реализации мероприятий по замене газопроводов за счет устранения утечек на заменяемых участках. Ввиду того, что такие потери весьма незначительны, то, соответственно, объемы экономии относительно невелики и простые сроки окупаемости простираются за пределы 15 лет. Между тем, замена газопроводов повышает надежность ресурсоснабжения потребителей и приводит к снижению количества аварий, что положительно отражается на качестве предоставляемой услуги. </w:t>
      </w:r>
    </w:p>
    <w:p>
      <w:pPr>
        <w:tabs>
          <w:tab w:val="left" w:pos="1276"/>
        </w:tabs>
        <w:spacing w:line="360" w:lineRule="auto"/>
        <w:ind w:firstLine="567"/>
        <w:jc w:val="both"/>
        <w:rPr>
          <w:color w:val="000000"/>
          <w:sz w:val="28"/>
          <w:szCs w:val="28"/>
        </w:rPr>
      </w:pPr>
      <w:r>
        <w:rPr>
          <w:color w:val="000000"/>
          <w:sz w:val="28"/>
          <w:szCs w:val="28"/>
        </w:rPr>
        <w:t xml:space="preserve">За период реализации настоящей Программы на инвестиционные проекты в системе газоснабжения предполагается потратить 442 млн руб. в текущих ценах. За этот же период будет сэкономлено 739 тыс. куб. м природного газа. Программа инвестиционных проектов в системе газоснабжения представлена в Приложении 9 к тому 2 «Обосновывающие материалы к Програмному документу».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50" w:name="_Toc21015067"/>
      <w:r>
        <w:rPr>
          <w:rFonts w:ascii="Times New Roman" w:hAnsi="Times New Roman"/>
          <w:i w:val="0"/>
          <w:color w:val="000000"/>
          <w:sz w:val="30"/>
          <w:szCs w:val="30"/>
        </w:rPr>
        <w:t>Программа инвестиционных проектов в системе обращения ТКО</w:t>
      </w:r>
      <w:bookmarkEnd w:id="50"/>
    </w:p>
    <w:p>
      <w:pPr>
        <w:tabs>
          <w:tab w:val="left" w:pos="1276"/>
        </w:tabs>
        <w:spacing w:line="360" w:lineRule="auto"/>
        <w:ind w:firstLine="567"/>
        <w:jc w:val="both"/>
        <w:rPr>
          <w:color w:val="000000"/>
          <w:sz w:val="28"/>
          <w:szCs w:val="28"/>
        </w:rPr>
      </w:pPr>
      <w:r>
        <w:rPr>
          <w:color w:val="000000"/>
          <w:sz w:val="28"/>
          <w:szCs w:val="28"/>
        </w:rPr>
        <w:t xml:space="preserve">С 2019 года в тариф за утилизацию (захоронение) твердых коммунальных отходов будет включаться плата за сбор и транспортировку. Таким образом, последняя будет «переведена» из жилищной услуги в коммунальную, и мероприятия теперь необходимо формировать по всей цепочке системы обращения твердых коммунальных отходов – от сбора до захоронения (утилизации).  </w:t>
      </w:r>
    </w:p>
    <w:p>
      <w:pPr>
        <w:tabs>
          <w:tab w:val="left" w:pos="1276"/>
        </w:tabs>
        <w:spacing w:line="360" w:lineRule="auto"/>
        <w:ind w:firstLine="567"/>
        <w:jc w:val="both"/>
        <w:rPr>
          <w:color w:val="000000"/>
          <w:sz w:val="28"/>
          <w:szCs w:val="28"/>
        </w:rPr>
      </w:pPr>
      <w:r>
        <w:rPr>
          <w:color w:val="000000"/>
          <w:sz w:val="28"/>
          <w:szCs w:val="28"/>
        </w:rPr>
        <w:t xml:space="preserve">Мероприятия свалок взяты из Территориальной схемы обращения с отходами Московской области (далее – Территориальная схема) распределены по следующим группам: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рекультивация несанкционированных свалок; </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замена старых и установка новых контейнеров;</w:t>
      </w:r>
    </w:p>
    <w:p>
      <w:pPr>
        <w:pStyle w:val="154"/>
        <w:numPr>
          <w:ilvl w:val="0"/>
          <w:numId w:val="55"/>
        </w:numPr>
        <w:tabs>
          <w:tab w:val="left" w:pos="1134"/>
        </w:tabs>
        <w:spacing w:line="360" w:lineRule="auto"/>
        <w:ind w:left="1134" w:hanging="567"/>
        <w:jc w:val="both"/>
        <w:rPr>
          <w:color w:val="000000"/>
          <w:sz w:val="28"/>
          <w:szCs w:val="28"/>
        </w:rPr>
      </w:pPr>
      <w:r>
        <w:rPr>
          <w:color w:val="000000"/>
          <w:sz w:val="28"/>
          <w:szCs w:val="28"/>
        </w:rPr>
        <w:t xml:space="preserve">закупка мусоровозов. </w:t>
      </w:r>
    </w:p>
    <w:p>
      <w:pPr>
        <w:tabs>
          <w:tab w:val="left" w:pos="1276"/>
        </w:tabs>
        <w:spacing w:line="360" w:lineRule="auto"/>
        <w:ind w:firstLine="567"/>
        <w:jc w:val="both"/>
        <w:rPr>
          <w:color w:val="000000"/>
          <w:sz w:val="28"/>
          <w:szCs w:val="28"/>
        </w:rPr>
      </w:pPr>
      <w:r>
        <w:rPr>
          <w:color w:val="000000"/>
          <w:sz w:val="28"/>
          <w:szCs w:val="28"/>
        </w:rPr>
        <w:t xml:space="preserve">Стоимость мероприятий по рекультивации несанкционированных свалок была взята из Территориальной схемы. Стоимость контейнера на замену была определена на основании ценовых предложений в регионе за европейский контейнер объемом 1,1 куб. м (14 тыс. руб.); стоимость нового мусоровоза – на основании ценовых предложений в регионе для аналога с задней загрузкой объемом кузова 21 куб. м (4,5 млн руб.). Цены до 2030 г. изменялись согласно прогнозным индексам инфляции в Прогнозе долгосрочного социально-экономического развития Российской Федерации.  </w:t>
      </w:r>
    </w:p>
    <w:p>
      <w:pPr>
        <w:tabs>
          <w:tab w:val="left" w:pos="1276"/>
        </w:tabs>
        <w:spacing w:line="360" w:lineRule="auto"/>
        <w:ind w:firstLine="567"/>
        <w:jc w:val="both"/>
        <w:rPr>
          <w:color w:val="000000"/>
          <w:sz w:val="28"/>
          <w:szCs w:val="28"/>
        </w:rPr>
      </w:pPr>
      <w:r>
        <w:rPr>
          <w:color w:val="000000"/>
          <w:sz w:val="28"/>
          <w:szCs w:val="28"/>
        </w:rPr>
        <w:t xml:space="preserve">Объемы применения мероприятий были оценены на основании данных из Территориальной схемы обращения с отходами Московской области. </w:t>
      </w:r>
    </w:p>
    <w:p>
      <w:pPr>
        <w:spacing w:line="360" w:lineRule="auto"/>
        <w:ind w:firstLine="567"/>
        <w:jc w:val="both"/>
        <w:rPr>
          <w:color w:val="000000"/>
          <w:sz w:val="28"/>
          <w:szCs w:val="28"/>
        </w:rPr>
      </w:pPr>
      <w:r>
        <w:rPr>
          <w:color w:val="000000"/>
          <w:sz w:val="28"/>
          <w:szCs w:val="28"/>
        </w:rPr>
        <w:t xml:space="preserve">В качестве источника финансирования мероприятий по замене/установке евроконтейнеров и закупке новых мусоровозов предусмотрены кредитные средства, которые будут взяты компаниями, с которыми региональный оператор заключит договора на сбор, вывоз и утилизацию (захоронение) твердых коммунальных отходов. Рекультивация свалок финансируется из бюджетных средств. </w:t>
      </w:r>
    </w:p>
    <w:p>
      <w:pPr>
        <w:spacing w:line="360" w:lineRule="auto"/>
        <w:ind w:firstLine="567"/>
        <w:jc w:val="both"/>
        <w:rPr>
          <w:color w:val="000000"/>
          <w:sz w:val="28"/>
          <w:szCs w:val="28"/>
        </w:rPr>
      </w:pPr>
      <w:r>
        <w:rPr>
          <w:color w:val="000000"/>
          <w:sz w:val="28"/>
          <w:szCs w:val="28"/>
        </w:rPr>
        <w:t>Мероприятия в системе обращения твердых коммунальных отходов реализуются региональным оператором «Рузский региональный оператор».</w:t>
      </w:r>
    </w:p>
    <w:p>
      <w:pPr>
        <w:spacing w:line="360" w:lineRule="auto"/>
        <w:ind w:firstLine="567"/>
        <w:jc w:val="both"/>
        <w:rPr>
          <w:color w:val="000000"/>
          <w:sz w:val="28"/>
          <w:szCs w:val="28"/>
        </w:rPr>
      </w:pPr>
      <w:r>
        <w:rPr>
          <w:color w:val="000000"/>
          <w:sz w:val="28"/>
          <w:szCs w:val="28"/>
        </w:rPr>
        <w:t xml:space="preserve">За период реализации настоящей Программы на инвестиционные проекты в системе обращения твердых коммунальных отходов предполагается потратить 138 млн руб. в текущих ценах.  Программа инвестиционных проектов в системе обращения ТКО представлена в Приложении 9 к тому 2 «Обосновывающие материалы».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51" w:name="_Toc21015068"/>
      <w:r>
        <w:rPr>
          <w:rFonts w:ascii="Times New Roman" w:hAnsi="Times New Roman"/>
          <w:i w:val="0"/>
          <w:color w:val="000000"/>
          <w:sz w:val="30"/>
          <w:szCs w:val="30"/>
        </w:rPr>
        <w:t>Взаимосвязанность проектов</w:t>
      </w:r>
      <w:bookmarkEnd w:id="51"/>
    </w:p>
    <w:p>
      <w:pPr>
        <w:suppressAutoHyphens/>
        <w:spacing w:before="120" w:after="120" w:line="360" w:lineRule="auto"/>
        <w:ind w:firstLine="448"/>
        <w:jc w:val="both"/>
        <w:rPr>
          <w:sz w:val="28"/>
          <w:szCs w:val="28"/>
        </w:rPr>
      </w:pPr>
      <w:r>
        <w:rPr>
          <w:sz w:val="28"/>
          <w:szCs w:val="28"/>
        </w:rPr>
        <w:t xml:space="preserve">Целью взаимной увязки проектов систем коммунальной инфраструктуры с другими целевыми программами является оптимизация по приоритетности, срокам и возможностям осуществления мероприятий всех программ, реализуемых на территории муниципального образования, а также интеграция программы в систему мероприятий по совершенствованию и гармонизации среды муниципального образования. Основными задачами увязки проектов комплексного развития систем коммунальной инфраструктуры с другими целевыми программами являются: </w:t>
      </w:r>
    </w:p>
    <w:p>
      <w:pPr>
        <w:pStyle w:val="154"/>
        <w:numPr>
          <w:ilvl w:val="0"/>
          <w:numId w:val="57"/>
        </w:numPr>
        <w:suppressAutoHyphens/>
        <w:spacing w:before="120" w:after="120" w:line="360" w:lineRule="auto"/>
        <w:ind w:left="0" w:firstLine="0"/>
        <w:jc w:val="both"/>
        <w:rPr>
          <w:sz w:val="28"/>
          <w:szCs w:val="28"/>
          <w:shd w:val="clear" w:color="auto" w:fill="FFFFFF"/>
        </w:rPr>
      </w:pPr>
      <w:r>
        <w:rPr>
          <w:sz w:val="28"/>
          <w:szCs w:val="28"/>
        </w:rPr>
        <w:t xml:space="preserve">взаимное дополнение мероприятий программы комплексного развития и мероприятий, предусмотренных в других целевых программах; </w:t>
      </w:r>
    </w:p>
    <w:p>
      <w:pPr>
        <w:pStyle w:val="154"/>
        <w:numPr>
          <w:ilvl w:val="0"/>
          <w:numId w:val="57"/>
        </w:numPr>
        <w:suppressAutoHyphens/>
        <w:spacing w:before="120" w:after="120" w:line="360" w:lineRule="auto"/>
        <w:ind w:left="0" w:firstLine="0"/>
        <w:jc w:val="both"/>
        <w:rPr>
          <w:sz w:val="28"/>
          <w:szCs w:val="28"/>
          <w:shd w:val="clear" w:color="auto" w:fill="FFFFFF"/>
        </w:rPr>
      </w:pPr>
      <w:r>
        <w:rPr>
          <w:sz w:val="28"/>
          <w:szCs w:val="28"/>
        </w:rPr>
        <w:t xml:space="preserve">обеспечение сбалансированности развития муниципального образования; </w:t>
      </w:r>
    </w:p>
    <w:p>
      <w:pPr>
        <w:pStyle w:val="154"/>
        <w:numPr>
          <w:ilvl w:val="0"/>
          <w:numId w:val="57"/>
        </w:numPr>
        <w:suppressAutoHyphens/>
        <w:spacing w:before="120" w:after="120" w:line="360" w:lineRule="auto"/>
        <w:ind w:left="0" w:firstLine="0"/>
        <w:jc w:val="both"/>
        <w:rPr>
          <w:sz w:val="28"/>
          <w:szCs w:val="28"/>
          <w:shd w:val="clear" w:color="auto" w:fill="FFFFFF"/>
        </w:rPr>
      </w:pPr>
      <w:r>
        <w:rPr>
          <w:sz w:val="28"/>
          <w:szCs w:val="28"/>
        </w:rPr>
        <w:t xml:space="preserve">повышение экономической, экологической и социальной эффективности реализации целевых программ, реализуемых на территории муниципального образования; </w:t>
      </w:r>
    </w:p>
    <w:p>
      <w:pPr>
        <w:pStyle w:val="154"/>
        <w:numPr>
          <w:ilvl w:val="0"/>
          <w:numId w:val="57"/>
        </w:numPr>
        <w:suppressAutoHyphens/>
        <w:spacing w:before="120" w:after="120" w:line="360" w:lineRule="auto"/>
        <w:ind w:left="0" w:firstLine="0"/>
        <w:jc w:val="both"/>
        <w:rPr>
          <w:sz w:val="28"/>
          <w:szCs w:val="28"/>
          <w:shd w:val="clear" w:color="auto" w:fill="FFFFFF"/>
        </w:rPr>
      </w:pPr>
      <w:r>
        <w:rPr>
          <w:sz w:val="28"/>
          <w:szCs w:val="28"/>
        </w:rPr>
        <w:t xml:space="preserve">устранение дублирования мероприятий, реализуемых в рамках различных целевых программ. </w:t>
      </w:r>
    </w:p>
    <w:p>
      <w:pPr>
        <w:suppressAutoHyphens/>
        <w:spacing w:before="120" w:after="120" w:line="360" w:lineRule="auto"/>
        <w:ind w:firstLine="567"/>
        <w:jc w:val="both"/>
        <w:rPr>
          <w:sz w:val="28"/>
          <w:szCs w:val="28"/>
          <w:shd w:val="clear" w:color="auto" w:fill="FFFFFF"/>
        </w:rPr>
      </w:pPr>
      <w:r>
        <w:rPr>
          <w:sz w:val="28"/>
          <w:szCs w:val="28"/>
        </w:rPr>
        <w:t>Проекты, реализуемые в разных системах коммунальной инфраструктуры взаимосвязаны друг с другом по срокам их реализации в связи с тем, что они обеспечивают один и тот же основной проект строительства объектов генерации, наружных сетей инженерного обеспечения территорий для жилищного строительства и строительства объектов социальной инфраструктуры: школ, детских дошкольных учреждений.</w:t>
      </w:r>
    </w:p>
    <w:p>
      <w:pPr>
        <w:tabs>
          <w:tab w:val="left" w:pos="1134"/>
        </w:tabs>
        <w:spacing w:line="360" w:lineRule="auto"/>
        <w:ind w:firstLine="567"/>
        <w:jc w:val="both"/>
        <w:rPr>
          <w:color w:val="000000"/>
          <w:sz w:val="28"/>
          <w:szCs w:val="28"/>
        </w:rPr>
      </w:pPr>
      <w:r>
        <w:rPr>
          <w:sz w:val="28"/>
          <w:szCs w:val="28"/>
          <w:shd w:val="clear" w:color="auto" w:fill="FFFFFF"/>
        </w:rPr>
        <w:t>Взаимосвязанность проектов в технических, организационных и временных компонентах учтена при формировании матриц мероприятий в соответствующих разделах Программы</w:t>
      </w:r>
      <w:r>
        <w:rPr>
          <w:sz w:val="28"/>
          <w:szCs w:val="28"/>
        </w:rPr>
        <w:t>.</w:t>
      </w:r>
      <w:r>
        <w:rPr>
          <w:sz w:val="28"/>
          <w:szCs w:val="28"/>
          <w:shd w:val="clear" w:color="auto" w:fill="FFFFFF"/>
        </w:rPr>
        <w:t> </w:t>
      </w:r>
      <w:r>
        <w:rPr>
          <w:color w:val="000000"/>
          <w:sz w:val="28"/>
          <w:szCs w:val="28"/>
        </w:rPr>
        <w:t xml:space="preserve">  </w:t>
      </w:r>
      <w:r>
        <w:rPr>
          <w:b/>
          <w:sz w:val="28"/>
          <w:szCs w:val="28"/>
        </w:rPr>
        <w:t xml:space="preserve"> </w:t>
      </w:r>
    </w:p>
    <w:p>
      <w:pPr>
        <w:pStyle w:val="2"/>
        <w:numPr>
          <w:ilvl w:val="0"/>
          <w:numId w:val="30"/>
        </w:numPr>
        <w:ind w:left="448" w:hanging="448"/>
        <w:rPr>
          <w:rFonts w:ascii="Times New Roman" w:hAnsi="Times New Roman"/>
          <w:sz w:val="30"/>
          <w:szCs w:val="30"/>
        </w:rPr>
      </w:pPr>
      <w:bookmarkStart w:id="52" w:name="_Toc21015069"/>
      <w:r>
        <w:rPr>
          <w:rFonts w:ascii="Times New Roman" w:hAnsi="Times New Roman"/>
          <w:sz w:val="30"/>
          <w:szCs w:val="30"/>
        </w:rPr>
        <w:t>ИСТОЧНИКИ ИНВЕСТИЦИЙ, ТАРИФЫ И ДОСТУПНОСТЬ ПРОГРАММЫ ДЛЯ НАСЕЛЕНИЯ</w:t>
      </w:r>
      <w:bookmarkEnd w:id="52"/>
    </w:p>
    <w:p>
      <w:pPr>
        <w:pStyle w:val="3"/>
        <w:numPr>
          <w:ilvl w:val="1"/>
          <w:numId w:val="30"/>
        </w:numPr>
        <w:pBdr>
          <w:bottom w:val="single" w:color="auto" w:sz="12" w:space="0"/>
        </w:pBdr>
        <w:tabs>
          <w:tab w:val="left" w:pos="1134"/>
        </w:tabs>
        <w:spacing w:before="120" w:after="200"/>
        <w:ind w:left="1134" w:hanging="567"/>
        <w:rPr>
          <w:rFonts w:ascii="Times New Roman" w:hAnsi="Times New Roman"/>
          <w:i w:val="0"/>
          <w:color w:val="000000"/>
          <w:sz w:val="30"/>
          <w:szCs w:val="30"/>
        </w:rPr>
      </w:pPr>
      <w:bookmarkStart w:id="53" w:name="_Toc21015070"/>
      <w:r>
        <w:rPr>
          <w:rFonts w:ascii="Times New Roman" w:hAnsi="Times New Roman"/>
          <w:i w:val="0"/>
          <w:color w:val="000000"/>
          <w:sz w:val="30"/>
          <w:szCs w:val="30"/>
        </w:rPr>
        <w:t>Источники инвестиций</w:t>
      </w:r>
      <w:bookmarkEnd w:id="53"/>
      <w:r>
        <w:rPr>
          <w:rFonts w:ascii="Times New Roman" w:hAnsi="Times New Roman"/>
          <w:i w:val="0"/>
          <w:color w:val="000000"/>
          <w:sz w:val="30"/>
          <w:szCs w:val="30"/>
        </w:rPr>
        <w:t xml:space="preserve"> </w:t>
      </w:r>
    </w:p>
    <w:p>
      <w:pPr>
        <w:tabs>
          <w:tab w:val="left" w:pos="1134"/>
        </w:tabs>
        <w:spacing w:before="240" w:line="360" w:lineRule="auto"/>
        <w:ind w:firstLine="567"/>
        <w:jc w:val="both"/>
        <w:rPr>
          <w:color w:val="000000"/>
          <w:sz w:val="28"/>
          <w:szCs w:val="28"/>
        </w:rPr>
      </w:pPr>
      <w:r>
        <w:rPr>
          <w:color w:val="000000"/>
          <w:sz w:val="28"/>
          <w:szCs w:val="28"/>
        </w:rPr>
        <w:t xml:space="preserve">Инвестиционные проекты в системах предоставления коммунальных услуг структурированы по следующим основаниям: </w:t>
      </w:r>
    </w:p>
    <w:p>
      <w:pPr>
        <w:pStyle w:val="154"/>
        <w:numPr>
          <w:ilvl w:val="0"/>
          <w:numId w:val="58"/>
        </w:numPr>
        <w:tabs>
          <w:tab w:val="left" w:pos="1134"/>
        </w:tabs>
        <w:spacing w:line="360" w:lineRule="auto"/>
        <w:ind w:left="1134" w:hanging="567"/>
        <w:jc w:val="both"/>
        <w:rPr>
          <w:color w:val="000000"/>
          <w:sz w:val="28"/>
          <w:szCs w:val="28"/>
        </w:rPr>
      </w:pPr>
      <w:r>
        <w:rPr>
          <w:color w:val="000000"/>
          <w:sz w:val="28"/>
          <w:szCs w:val="28"/>
        </w:rPr>
        <w:t>Коммунальные системы, в т.ч.:</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теплоснабжение;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водоснабжение;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водоотведение;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электроснабжение;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газоснабжение;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 xml:space="preserve">обращение ТКО.  </w:t>
      </w:r>
    </w:p>
    <w:p>
      <w:pPr>
        <w:pStyle w:val="154"/>
        <w:numPr>
          <w:ilvl w:val="0"/>
          <w:numId w:val="58"/>
        </w:numPr>
        <w:tabs>
          <w:tab w:val="left" w:pos="1134"/>
        </w:tabs>
        <w:spacing w:line="360" w:lineRule="auto"/>
        <w:ind w:left="1134" w:hanging="567"/>
        <w:jc w:val="both"/>
        <w:rPr>
          <w:color w:val="000000"/>
          <w:sz w:val="28"/>
          <w:szCs w:val="28"/>
        </w:rPr>
      </w:pPr>
      <w:r>
        <w:rPr>
          <w:color w:val="000000"/>
          <w:sz w:val="28"/>
          <w:szCs w:val="28"/>
        </w:rPr>
        <w:t>Цели реализации в т.ч.:</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нацеленные на присоединение новых потребителей;</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обеспечивающие повышение надежности ресурсоснабжения;</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обеспечивающие выполнение экологических требований;</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 xml:space="preserve">обеспечивающие выполнение требований законодательства об энергосбережении.  </w:t>
      </w:r>
    </w:p>
    <w:p>
      <w:pPr>
        <w:pStyle w:val="154"/>
        <w:numPr>
          <w:ilvl w:val="0"/>
          <w:numId w:val="58"/>
        </w:numPr>
        <w:tabs>
          <w:tab w:val="left" w:pos="1134"/>
        </w:tabs>
        <w:spacing w:line="360" w:lineRule="auto"/>
        <w:ind w:left="1134" w:hanging="567"/>
        <w:jc w:val="both"/>
        <w:rPr>
          <w:color w:val="000000"/>
          <w:sz w:val="28"/>
          <w:szCs w:val="28"/>
        </w:rPr>
      </w:pPr>
      <w:r>
        <w:rPr>
          <w:color w:val="000000"/>
          <w:sz w:val="28"/>
          <w:szCs w:val="28"/>
        </w:rPr>
        <w:t>Простые сроки окупаемости, в т.ч.:</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быстроокупаемые (сроки окупаемости до 7 лет);</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среднеокупаемые (сроки окупаемости от 7 до 15 лет);</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 xml:space="preserve">долгоокупаемые (сроки окупаемости более 15 лет).  </w:t>
      </w:r>
    </w:p>
    <w:p>
      <w:pPr>
        <w:pStyle w:val="154"/>
        <w:numPr>
          <w:ilvl w:val="0"/>
          <w:numId w:val="58"/>
        </w:numPr>
        <w:tabs>
          <w:tab w:val="left" w:pos="1134"/>
        </w:tabs>
        <w:spacing w:line="360" w:lineRule="auto"/>
        <w:ind w:left="1134" w:hanging="567"/>
        <w:jc w:val="both"/>
        <w:rPr>
          <w:color w:val="000000"/>
          <w:sz w:val="28"/>
          <w:szCs w:val="28"/>
        </w:rPr>
      </w:pPr>
      <w:r>
        <w:rPr>
          <w:color w:val="000000"/>
          <w:sz w:val="28"/>
          <w:szCs w:val="28"/>
        </w:rPr>
        <w:t xml:space="preserve">Источники финансирования, в т.ч.: </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бюджетные средства;</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капитальные вложения из прибыли;</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плата за подключение (технологическое присоединение);</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собственные средства и/или плата за резервирование тепловой мощности;</w:t>
      </w:r>
    </w:p>
    <w:p>
      <w:pPr>
        <w:pStyle w:val="154"/>
        <w:numPr>
          <w:ilvl w:val="0"/>
          <w:numId w:val="59"/>
        </w:numPr>
        <w:tabs>
          <w:tab w:val="left" w:pos="1701"/>
        </w:tabs>
        <w:spacing w:line="360" w:lineRule="auto"/>
        <w:ind w:left="1701" w:hanging="567"/>
        <w:jc w:val="both"/>
        <w:rPr>
          <w:color w:val="000000"/>
          <w:sz w:val="28"/>
          <w:szCs w:val="28"/>
        </w:rPr>
      </w:pPr>
      <w:r>
        <w:rPr>
          <w:color w:val="000000"/>
          <w:sz w:val="28"/>
          <w:szCs w:val="28"/>
        </w:rPr>
        <w:t xml:space="preserve">кредитные средства/лизинг. </w:t>
      </w:r>
    </w:p>
    <w:p>
      <w:pPr>
        <w:pStyle w:val="154"/>
        <w:numPr>
          <w:ilvl w:val="2"/>
          <w:numId w:val="30"/>
        </w:numPr>
        <w:spacing w:after="120" w:line="235" w:lineRule="auto"/>
        <w:ind w:hanging="863"/>
        <w:jc w:val="both"/>
        <w:rPr>
          <w:sz w:val="28"/>
          <w:szCs w:val="28"/>
          <w:u w:val="single"/>
        </w:rPr>
      </w:pPr>
      <w:r>
        <w:rPr>
          <w:sz w:val="28"/>
          <w:szCs w:val="28"/>
          <w:u w:val="single"/>
        </w:rPr>
        <w:t>Теплоснабжение</w:t>
      </w:r>
    </w:p>
    <w:p>
      <w:pPr>
        <w:spacing w:line="360" w:lineRule="auto"/>
        <w:ind w:firstLine="567"/>
        <w:jc w:val="both"/>
        <w:rPr>
          <w:color w:val="000000"/>
          <w:sz w:val="28"/>
          <w:szCs w:val="28"/>
        </w:rPr>
      </w:pPr>
      <w:r>
        <w:rPr>
          <w:color w:val="000000"/>
          <w:sz w:val="28"/>
          <w:szCs w:val="28"/>
        </w:rPr>
        <w:t>В таблице 6-1 представлены инвестиционные мероприятия настоящей Программы в системе теплоснабжения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6-1. Распределение мероприятий в системе теплоснабжения </w:t>
      </w:r>
    </w:p>
    <w:tbl>
      <w:tblPr>
        <w:tblStyle w:val="100"/>
        <w:tblW w:w="90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6"/>
        <w:gridCol w:w="1075"/>
        <w:gridCol w:w="1076"/>
        <w:gridCol w:w="1075"/>
        <w:gridCol w:w="1076"/>
        <w:gridCol w:w="107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675" w:type="dxa"/>
            <w:gridSpan w:val="6"/>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6" w:type="dxa"/>
            <w:vMerge w:val="continue"/>
            <w:vAlign w:val="center"/>
          </w:tcPr>
          <w:p>
            <w:pPr>
              <w:spacing w:before="20" w:after="20"/>
              <w:ind w:left="-57" w:right="-57"/>
              <w:rPr>
                <w:b/>
                <w:bCs/>
                <w:color w:val="000000"/>
                <w:sz w:val="20"/>
                <w:szCs w:val="20"/>
              </w:rPr>
            </w:pP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2018</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1298" w:type="dxa"/>
            <w:shd w:val="clear" w:color="auto" w:fill="auto"/>
            <w:vAlign w:val="center"/>
          </w:tcPr>
          <w:p>
            <w:pPr>
              <w:spacing w:before="20" w:after="20"/>
              <w:ind w:left="-57" w:right="-57"/>
              <w:jc w:val="center"/>
              <w:rPr>
                <w:b/>
                <w:bCs/>
                <w:color w:val="000000"/>
                <w:sz w:val="20"/>
                <w:szCs w:val="20"/>
              </w:rPr>
            </w:pPr>
            <w:r>
              <w:rPr>
                <w:b/>
                <w:bCs/>
                <w:color w:val="000000"/>
                <w:sz w:val="20"/>
                <w:szCs w:val="20"/>
              </w:rPr>
              <w:t>2018-2030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935 610</w:t>
            </w:r>
          </w:p>
        </w:tc>
        <w:tc>
          <w:tcPr>
            <w:tcW w:w="1076" w:type="dxa"/>
            <w:shd w:val="clear" w:color="auto" w:fill="auto"/>
            <w:vAlign w:val="center"/>
          </w:tcPr>
          <w:p>
            <w:pPr>
              <w:jc w:val="center"/>
              <w:rPr>
                <w:b/>
                <w:bCs/>
                <w:color w:val="000000"/>
                <w:sz w:val="20"/>
                <w:szCs w:val="20"/>
              </w:rPr>
            </w:pPr>
            <w:r>
              <w:rPr>
                <w:b/>
                <w:bCs/>
                <w:color w:val="000000"/>
                <w:sz w:val="20"/>
                <w:szCs w:val="20"/>
              </w:rPr>
              <w:t>956 248</w:t>
            </w:r>
          </w:p>
        </w:tc>
        <w:tc>
          <w:tcPr>
            <w:tcW w:w="1075" w:type="dxa"/>
            <w:shd w:val="clear" w:color="auto" w:fill="auto"/>
            <w:vAlign w:val="center"/>
          </w:tcPr>
          <w:p>
            <w:pPr>
              <w:jc w:val="center"/>
              <w:rPr>
                <w:b/>
                <w:bCs/>
                <w:color w:val="000000"/>
                <w:sz w:val="20"/>
                <w:szCs w:val="20"/>
              </w:rPr>
            </w:pPr>
            <w:r>
              <w:rPr>
                <w:b/>
                <w:bCs/>
                <w:color w:val="000000"/>
                <w:sz w:val="20"/>
                <w:szCs w:val="20"/>
              </w:rPr>
              <w:t>436 466</w:t>
            </w:r>
          </w:p>
        </w:tc>
        <w:tc>
          <w:tcPr>
            <w:tcW w:w="1298" w:type="dxa"/>
            <w:shd w:val="clear" w:color="auto" w:fill="auto"/>
            <w:vAlign w:val="center"/>
          </w:tcPr>
          <w:p>
            <w:pPr>
              <w:jc w:val="center"/>
              <w:rPr>
                <w:b/>
                <w:bCs/>
                <w:color w:val="000000"/>
                <w:sz w:val="20"/>
                <w:szCs w:val="20"/>
              </w:rPr>
            </w:pPr>
            <w:r>
              <w:rPr>
                <w:b/>
                <w:bCs/>
                <w:color w:val="000000"/>
                <w:sz w:val="20"/>
                <w:szCs w:val="20"/>
              </w:rPr>
              <w:t>4 695 427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540 376</w:t>
            </w:r>
          </w:p>
        </w:tc>
        <w:tc>
          <w:tcPr>
            <w:tcW w:w="1076" w:type="dxa"/>
            <w:shd w:val="clear" w:color="auto" w:fill="auto"/>
            <w:vAlign w:val="center"/>
          </w:tcPr>
          <w:p>
            <w:pPr>
              <w:jc w:val="center"/>
              <w:rPr>
                <w:color w:val="000000"/>
                <w:sz w:val="20"/>
                <w:szCs w:val="20"/>
              </w:rPr>
            </w:pPr>
            <w:r>
              <w:rPr>
                <w:color w:val="000000"/>
                <w:sz w:val="20"/>
                <w:szCs w:val="20"/>
              </w:rPr>
              <w:t>582 117</w:t>
            </w:r>
          </w:p>
        </w:tc>
        <w:tc>
          <w:tcPr>
            <w:tcW w:w="1075" w:type="dxa"/>
            <w:shd w:val="clear" w:color="auto" w:fill="auto"/>
            <w:vAlign w:val="center"/>
          </w:tcPr>
          <w:p>
            <w:pPr>
              <w:jc w:val="center"/>
              <w:rPr>
                <w:color w:val="000000"/>
                <w:sz w:val="20"/>
                <w:szCs w:val="20"/>
              </w:rPr>
            </w:pPr>
            <w:r>
              <w:rPr>
                <w:color w:val="000000"/>
                <w:sz w:val="20"/>
                <w:szCs w:val="20"/>
              </w:rPr>
              <w:t>158 114</w:t>
            </w:r>
          </w:p>
        </w:tc>
        <w:tc>
          <w:tcPr>
            <w:tcW w:w="1298" w:type="dxa"/>
            <w:shd w:val="clear" w:color="auto" w:fill="auto"/>
            <w:vAlign w:val="center"/>
          </w:tcPr>
          <w:p>
            <w:pPr>
              <w:jc w:val="center"/>
              <w:rPr>
                <w:color w:val="000000"/>
                <w:sz w:val="20"/>
                <w:szCs w:val="20"/>
              </w:rPr>
            </w:pPr>
            <w:r>
              <w:rPr>
                <w:color w:val="000000"/>
                <w:sz w:val="20"/>
                <w:szCs w:val="20"/>
              </w:rPr>
              <w:t>2 829 177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395 234</w:t>
            </w:r>
          </w:p>
        </w:tc>
        <w:tc>
          <w:tcPr>
            <w:tcW w:w="1076" w:type="dxa"/>
            <w:shd w:val="clear" w:color="auto" w:fill="auto"/>
            <w:vAlign w:val="center"/>
          </w:tcPr>
          <w:p>
            <w:pPr>
              <w:jc w:val="center"/>
              <w:rPr>
                <w:color w:val="000000"/>
                <w:sz w:val="20"/>
                <w:szCs w:val="20"/>
              </w:rPr>
            </w:pPr>
            <w:r>
              <w:rPr>
                <w:color w:val="000000"/>
                <w:sz w:val="20"/>
                <w:szCs w:val="20"/>
              </w:rPr>
              <w:t>374 130</w:t>
            </w:r>
          </w:p>
        </w:tc>
        <w:tc>
          <w:tcPr>
            <w:tcW w:w="1075" w:type="dxa"/>
            <w:shd w:val="clear" w:color="auto" w:fill="auto"/>
            <w:vAlign w:val="center"/>
          </w:tcPr>
          <w:p>
            <w:pPr>
              <w:jc w:val="center"/>
              <w:rPr>
                <w:color w:val="000000"/>
                <w:sz w:val="20"/>
                <w:szCs w:val="20"/>
              </w:rPr>
            </w:pPr>
            <w:r>
              <w:rPr>
                <w:color w:val="000000"/>
                <w:sz w:val="20"/>
                <w:szCs w:val="20"/>
              </w:rPr>
              <w:t>278 353</w:t>
            </w:r>
          </w:p>
        </w:tc>
        <w:tc>
          <w:tcPr>
            <w:tcW w:w="1298" w:type="dxa"/>
            <w:shd w:val="clear" w:color="auto" w:fill="auto"/>
            <w:vAlign w:val="center"/>
          </w:tcPr>
          <w:p>
            <w:pPr>
              <w:jc w:val="center"/>
              <w:rPr>
                <w:color w:val="000000"/>
                <w:sz w:val="20"/>
                <w:szCs w:val="20"/>
              </w:rPr>
            </w:pPr>
            <w:r>
              <w:rPr>
                <w:color w:val="000000"/>
                <w:sz w:val="20"/>
                <w:szCs w:val="20"/>
              </w:rPr>
              <w:t>1 866 251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935 610</w:t>
            </w:r>
          </w:p>
        </w:tc>
        <w:tc>
          <w:tcPr>
            <w:tcW w:w="1076" w:type="dxa"/>
            <w:shd w:val="clear" w:color="auto" w:fill="auto"/>
            <w:vAlign w:val="center"/>
          </w:tcPr>
          <w:p>
            <w:pPr>
              <w:jc w:val="center"/>
              <w:rPr>
                <w:b/>
                <w:bCs/>
                <w:color w:val="000000"/>
                <w:sz w:val="20"/>
                <w:szCs w:val="20"/>
              </w:rPr>
            </w:pPr>
            <w:r>
              <w:rPr>
                <w:b/>
                <w:bCs/>
                <w:color w:val="000000"/>
                <w:sz w:val="20"/>
                <w:szCs w:val="20"/>
              </w:rPr>
              <w:t>956 248</w:t>
            </w:r>
          </w:p>
        </w:tc>
        <w:tc>
          <w:tcPr>
            <w:tcW w:w="1075" w:type="dxa"/>
            <w:shd w:val="clear" w:color="auto" w:fill="auto"/>
            <w:vAlign w:val="center"/>
          </w:tcPr>
          <w:p>
            <w:pPr>
              <w:jc w:val="center"/>
              <w:rPr>
                <w:b/>
                <w:bCs/>
                <w:color w:val="000000"/>
                <w:sz w:val="20"/>
                <w:szCs w:val="20"/>
              </w:rPr>
            </w:pPr>
            <w:r>
              <w:rPr>
                <w:b/>
                <w:bCs/>
                <w:color w:val="000000"/>
                <w:sz w:val="20"/>
                <w:szCs w:val="20"/>
              </w:rPr>
              <w:t>436 466</w:t>
            </w:r>
          </w:p>
        </w:tc>
        <w:tc>
          <w:tcPr>
            <w:tcW w:w="1298" w:type="dxa"/>
            <w:shd w:val="clear" w:color="auto" w:fill="auto"/>
            <w:vAlign w:val="center"/>
          </w:tcPr>
          <w:p>
            <w:pPr>
              <w:jc w:val="center"/>
              <w:rPr>
                <w:b/>
                <w:bCs/>
                <w:color w:val="000000"/>
                <w:sz w:val="20"/>
                <w:szCs w:val="20"/>
              </w:rPr>
            </w:pPr>
            <w:r>
              <w:rPr>
                <w:b/>
                <w:bCs/>
                <w:color w:val="000000"/>
                <w:sz w:val="20"/>
                <w:szCs w:val="20"/>
              </w:rPr>
              <w:t>4 695 427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19396</w:t>
            </w:r>
          </w:p>
        </w:tc>
        <w:tc>
          <w:tcPr>
            <w:tcW w:w="1076" w:type="dxa"/>
            <w:shd w:val="clear" w:color="auto" w:fill="auto"/>
            <w:vAlign w:val="center"/>
          </w:tcPr>
          <w:p>
            <w:pPr>
              <w:jc w:val="center"/>
              <w:rPr>
                <w:color w:val="000000"/>
                <w:sz w:val="20"/>
                <w:szCs w:val="20"/>
              </w:rPr>
            </w:pPr>
            <w:r>
              <w:rPr>
                <w:color w:val="000000"/>
                <w:sz w:val="20"/>
                <w:szCs w:val="20"/>
              </w:rPr>
              <w:t>18091</w:t>
            </w:r>
          </w:p>
        </w:tc>
        <w:tc>
          <w:tcPr>
            <w:tcW w:w="1075" w:type="dxa"/>
            <w:shd w:val="clear" w:color="auto" w:fill="auto"/>
            <w:vAlign w:val="center"/>
          </w:tcPr>
          <w:p>
            <w:pPr>
              <w:jc w:val="center"/>
              <w:rPr>
                <w:color w:val="000000"/>
                <w:sz w:val="20"/>
                <w:szCs w:val="20"/>
              </w:rPr>
            </w:pPr>
            <w:r>
              <w:rPr>
                <w:color w:val="000000"/>
                <w:sz w:val="20"/>
                <w:szCs w:val="20"/>
              </w:rPr>
              <w:t>11785</w:t>
            </w:r>
          </w:p>
        </w:tc>
        <w:tc>
          <w:tcPr>
            <w:tcW w:w="1298" w:type="dxa"/>
            <w:shd w:val="clear" w:color="auto" w:fill="auto"/>
            <w:vAlign w:val="center"/>
          </w:tcPr>
          <w:p>
            <w:pPr>
              <w:jc w:val="center"/>
              <w:rPr>
                <w:color w:val="000000"/>
                <w:sz w:val="20"/>
                <w:szCs w:val="20"/>
              </w:rPr>
            </w:pPr>
            <w:r>
              <w:rPr>
                <w:color w:val="000000"/>
                <w:sz w:val="20"/>
                <w:szCs w:val="20"/>
              </w:rPr>
              <w:t>1904141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9608</w:t>
            </w:r>
          </w:p>
        </w:tc>
        <w:tc>
          <w:tcPr>
            <w:tcW w:w="1076" w:type="dxa"/>
            <w:shd w:val="clear" w:color="auto" w:fill="auto"/>
            <w:vAlign w:val="center"/>
          </w:tcPr>
          <w:p>
            <w:pPr>
              <w:jc w:val="center"/>
              <w:rPr>
                <w:color w:val="000000"/>
                <w:sz w:val="20"/>
                <w:szCs w:val="20"/>
              </w:rPr>
            </w:pPr>
            <w:r>
              <w:rPr>
                <w:color w:val="000000"/>
                <w:sz w:val="20"/>
                <w:szCs w:val="20"/>
              </w:rPr>
              <w:t>9640</w:t>
            </w:r>
          </w:p>
        </w:tc>
        <w:tc>
          <w:tcPr>
            <w:tcW w:w="1075" w:type="dxa"/>
            <w:shd w:val="clear" w:color="auto" w:fill="auto"/>
            <w:vAlign w:val="center"/>
          </w:tcPr>
          <w:p>
            <w:pPr>
              <w:jc w:val="center"/>
              <w:rPr>
                <w:color w:val="000000"/>
                <w:sz w:val="20"/>
                <w:szCs w:val="20"/>
              </w:rPr>
            </w:pPr>
            <w:r>
              <w:rPr>
                <w:color w:val="000000"/>
                <w:sz w:val="20"/>
                <w:szCs w:val="20"/>
              </w:rPr>
              <w:t>436</w:t>
            </w:r>
          </w:p>
        </w:tc>
        <w:tc>
          <w:tcPr>
            <w:tcW w:w="1298" w:type="dxa"/>
            <w:shd w:val="clear" w:color="auto" w:fill="auto"/>
            <w:vAlign w:val="center"/>
          </w:tcPr>
          <w:p>
            <w:pPr>
              <w:jc w:val="center"/>
              <w:rPr>
                <w:color w:val="000000"/>
                <w:sz w:val="20"/>
                <w:szCs w:val="20"/>
              </w:rPr>
            </w:pPr>
            <w:r>
              <w:rPr>
                <w:color w:val="000000"/>
                <w:sz w:val="20"/>
                <w:szCs w:val="20"/>
              </w:rPr>
              <w:t>490527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906606</w:t>
            </w:r>
          </w:p>
        </w:tc>
        <w:tc>
          <w:tcPr>
            <w:tcW w:w="1076" w:type="dxa"/>
            <w:shd w:val="clear" w:color="auto" w:fill="auto"/>
            <w:vAlign w:val="center"/>
          </w:tcPr>
          <w:p>
            <w:pPr>
              <w:jc w:val="center"/>
              <w:rPr>
                <w:color w:val="000000"/>
                <w:sz w:val="20"/>
                <w:szCs w:val="20"/>
              </w:rPr>
            </w:pPr>
            <w:r>
              <w:rPr>
                <w:color w:val="000000"/>
                <w:sz w:val="20"/>
                <w:szCs w:val="20"/>
              </w:rPr>
              <w:t>928516</w:t>
            </w:r>
          </w:p>
        </w:tc>
        <w:tc>
          <w:tcPr>
            <w:tcW w:w="1075" w:type="dxa"/>
            <w:shd w:val="clear" w:color="auto" w:fill="auto"/>
            <w:vAlign w:val="center"/>
          </w:tcPr>
          <w:p>
            <w:pPr>
              <w:jc w:val="center"/>
              <w:rPr>
                <w:color w:val="000000"/>
                <w:sz w:val="20"/>
                <w:szCs w:val="20"/>
              </w:rPr>
            </w:pPr>
            <w:r>
              <w:rPr>
                <w:color w:val="000000"/>
                <w:sz w:val="20"/>
                <w:szCs w:val="20"/>
              </w:rPr>
              <w:t>424245</w:t>
            </w:r>
          </w:p>
        </w:tc>
        <w:tc>
          <w:tcPr>
            <w:tcW w:w="1298" w:type="dxa"/>
            <w:shd w:val="clear" w:color="auto" w:fill="auto"/>
            <w:vAlign w:val="center"/>
          </w:tcPr>
          <w:p>
            <w:pPr>
              <w:jc w:val="center"/>
              <w:rPr>
                <w:color w:val="000000"/>
                <w:sz w:val="20"/>
                <w:szCs w:val="20"/>
              </w:rPr>
            </w:pPr>
            <w:r>
              <w:rPr>
                <w:color w:val="000000"/>
                <w:sz w:val="20"/>
                <w:szCs w:val="20"/>
              </w:rPr>
              <w:t>2300759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935 610</w:t>
            </w:r>
          </w:p>
        </w:tc>
        <w:tc>
          <w:tcPr>
            <w:tcW w:w="1076" w:type="dxa"/>
            <w:shd w:val="clear" w:color="auto" w:fill="auto"/>
            <w:vAlign w:val="center"/>
          </w:tcPr>
          <w:p>
            <w:pPr>
              <w:jc w:val="center"/>
              <w:rPr>
                <w:b/>
                <w:bCs/>
                <w:color w:val="000000"/>
                <w:sz w:val="20"/>
                <w:szCs w:val="20"/>
              </w:rPr>
            </w:pPr>
            <w:r>
              <w:rPr>
                <w:b/>
                <w:bCs/>
                <w:color w:val="000000"/>
                <w:sz w:val="20"/>
                <w:szCs w:val="20"/>
              </w:rPr>
              <w:t>956 248</w:t>
            </w:r>
          </w:p>
        </w:tc>
        <w:tc>
          <w:tcPr>
            <w:tcW w:w="1075" w:type="dxa"/>
            <w:shd w:val="clear" w:color="auto" w:fill="auto"/>
            <w:vAlign w:val="center"/>
          </w:tcPr>
          <w:p>
            <w:pPr>
              <w:jc w:val="center"/>
              <w:rPr>
                <w:b/>
                <w:bCs/>
                <w:color w:val="000000"/>
                <w:sz w:val="20"/>
                <w:szCs w:val="20"/>
              </w:rPr>
            </w:pPr>
            <w:r>
              <w:rPr>
                <w:b/>
                <w:bCs/>
                <w:color w:val="000000"/>
                <w:sz w:val="20"/>
                <w:szCs w:val="20"/>
              </w:rPr>
              <w:t>436 466</w:t>
            </w:r>
          </w:p>
        </w:tc>
        <w:tc>
          <w:tcPr>
            <w:tcW w:w="1298" w:type="dxa"/>
            <w:shd w:val="clear" w:color="auto" w:fill="auto"/>
            <w:vAlign w:val="center"/>
          </w:tcPr>
          <w:p>
            <w:pPr>
              <w:jc w:val="center"/>
              <w:rPr>
                <w:b/>
                <w:bCs/>
                <w:color w:val="000000"/>
                <w:sz w:val="20"/>
                <w:szCs w:val="20"/>
              </w:rPr>
            </w:pPr>
            <w:r>
              <w:rPr>
                <w:b/>
                <w:bCs/>
                <w:color w:val="000000"/>
                <w:sz w:val="20"/>
                <w:szCs w:val="20"/>
              </w:rPr>
              <w:t>4 695 427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395 234</w:t>
            </w:r>
          </w:p>
        </w:tc>
        <w:tc>
          <w:tcPr>
            <w:tcW w:w="1076" w:type="dxa"/>
            <w:shd w:val="clear" w:color="auto" w:fill="auto"/>
            <w:vAlign w:val="center"/>
          </w:tcPr>
          <w:p>
            <w:pPr>
              <w:jc w:val="center"/>
              <w:rPr>
                <w:color w:val="000000"/>
                <w:sz w:val="20"/>
                <w:szCs w:val="20"/>
              </w:rPr>
            </w:pPr>
            <w:r>
              <w:rPr>
                <w:color w:val="000000"/>
                <w:sz w:val="20"/>
                <w:szCs w:val="20"/>
              </w:rPr>
              <w:t>374 130</w:t>
            </w:r>
          </w:p>
        </w:tc>
        <w:tc>
          <w:tcPr>
            <w:tcW w:w="1075" w:type="dxa"/>
            <w:shd w:val="clear" w:color="auto" w:fill="auto"/>
            <w:vAlign w:val="center"/>
          </w:tcPr>
          <w:p>
            <w:pPr>
              <w:jc w:val="center"/>
              <w:rPr>
                <w:color w:val="000000"/>
                <w:sz w:val="20"/>
                <w:szCs w:val="20"/>
              </w:rPr>
            </w:pPr>
            <w:r>
              <w:rPr>
                <w:color w:val="000000"/>
                <w:sz w:val="20"/>
                <w:szCs w:val="20"/>
              </w:rPr>
              <w:t>278 353</w:t>
            </w:r>
          </w:p>
        </w:tc>
        <w:tc>
          <w:tcPr>
            <w:tcW w:w="1298" w:type="dxa"/>
            <w:shd w:val="clear" w:color="auto" w:fill="auto"/>
            <w:vAlign w:val="center"/>
          </w:tcPr>
          <w:p>
            <w:pPr>
              <w:jc w:val="center"/>
              <w:rPr>
                <w:color w:val="000000"/>
                <w:sz w:val="20"/>
                <w:szCs w:val="20"/>
              </w:rPr>
            </w:pPr>
            <w:r>
              <w:rPr>
                <w:color w:val="000000"/>
                <w:sz w:val="20"/>
                <w:szCs w:val="20"/>
              </w:rPr>
              <w:t>1 866 251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540 376</w:t>
            </w:r>
          </w:p>
        </w:tc>
        <w:tc>
          <w:tcPr>
            <w:tcW w:w="1076" w:type="dxa"/>
            <w:shd w:val="clear" w:color="auto" w:fill="auto"/>
            <w:vAlign w:val="center"/>
          </w:tcPr>
          <w:p>
            <w:pPr>
              <w:jc w:val="center"/>
              <w:rPr>
                <w:color w:val="000000"/>
                <w:sz w:val="20"/>
                <w:szCs w:val="20"/>
              </w:rPr>
            </w:pPr>
            <w:r>
              <w:rPr>
                <w:color w:val="000000"/>
                <w:sz w:val="20"/>
                <w:szCs w:val="20"/>
              </w:rPr>
              <w:t>582 117</w:t>
            </w:r>
          </w:p>
        </w:tc>
        <w:tc>
          <w:tcPr>
            <w:tcW w:w="1075" w:type="dxa"/>
            <w:shd w:val="clear" w:color="auto" w:fill="auto"/>
            <w:vAlign w:val="center"/>
          </w:tcPr>
          <w:p>
            <w:pPr>
              <w:jc w:val="center"/>
              <w:rPr>
                <w:color w:val="000000"/>
                <w:sz w:val="20"/>
                <w:szCs w:val="20"/>
              </w:rPr>
            </w:pPr>
            <w:r>
              <w:rPr>
                <w:color w:val="000000"/>
                <w:sz w:val="20"/>
                <w:szCs w:val="20"/>
              </w:rPr>
              <w:t>158 114</w:t>
            </w:r>
          </w:p>
        </w:tc>
        <w:tc>
          <w:tcPr>
            <w:tcW w:w="1298" w:type="dxa"/>
            <w:shd w:val="clear" w:color="auto" w:fill="auto"/>
            <w:vAlign w:val="center"/>
          </w:tcPr>
          <w:p>
            <w:pPr>
              <w:jc w:val="center"/>
              <w:rPr>
                <w:color w:val="000000"/>
                <w:sz w:val="20"/>
                <w:szCs w:val="20"/>
              </w:rPr>
            </w:pPr>
            <w:r>
              <w:rPr>
                <w:color w:val="000000"/>
                <w:sz w:val="20"/>
                <w:szCs w:val="20"/>
              </w:rPr>
              <w:t>2 829 177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собственные средства/плата за резервирование тепловой мощности</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Водоснабжение</w:t>
      </w:r>
    </w:p>
    <w:p>
      <w:pPr>
        <w:spacing w:line="360" w:lineRule="auto"/>
        <w:ind w:firstLine="567"/>
        <w:jc w:val="both"/>
        <w:rPr>
          <w:color w:val="000000"/>
          <w:sz w:val="28"/>
          <w:szCs w:val="28"/>
        </w:rPr>
      </w:pPr>
      <w:r>
        <w:rPr>
          <w:color w:val="000000"/>
          <w:sz w:val="28"/>
          <w:szCs w:val="28"/>
        </w:rPr>
        <w:t>В таблице 6-2 представлены инвестиционные мероприятия настоящей Программы в системе водоснабжения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6-2. Распределение мероприятий в системе водоснабжения </w:t>
      </w:r>
    </w:p>
    <w:tbl>
      <w:tblPr>
        <w:tblStyle w:val="100"/>
        <w:tblW w:w="90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863"/>
        <w:gridCol w:w="1076"/>
        <w:gridCol w:w="1075"/>
        <w:gridCol w:w="1076"/>
        <w:gridCol w:w="1075"/>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461" w:type="dxa"/>
            <w:gridSpan w:val="6"/>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600" w:type="dxa"/>
            <w:vMerge w:val="continue"/>
            <w:vAlign w:val="center"/>
          </w:tcPr>
          <w:p>
            <w:pPr>
              <w:spacing w:before="20" w:after="20"/>
              <w:ind w:left="-57" w:right="-57"/>
              <w:rPr>
                <w:b/>
                <w:bCs/>
                <w:color w:val="000000"/>
                <w:sz w:val="20"/>
                <w:szCs w:val="20"/>
              </w:rPr>
            </w:pPr>
          </w:p>
        </w:tc>
        <w:tc>
          <w:tcPr>
            <w:tcW w:w="863" w:type="dxa"/>
            <w:shd w:val="clear" w:color="auto" w:fill="auto"/>
            <w:vAlign w:val="center"/>
          </w:tcPr>
          <w:p>
            <w:pPr>
              <w:spacing w:before="20" w:after="20"/>
              <w:ind w:left="-57" w:right="-57"/>
              <w:jc w:val="center"/>
              <w:rPr>
                <w:b/>
                <w:bCs/>
                <w:color w:val="000000"/>
                <w:sz w:val="20"/>
                <w:szCs w:val="20"/>
              </w:rPr>
            </w:pPr>
            <w:r>
              <w:rPr>
                <w:b/>
                <w:bCs/>
                <w:color w:val="000000"/>
                <w:sz w:val="20"/>
                <w:szCs w:val="20"/>
              </w:rPr>
              <w:t>2018</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1296" w:type="dxa"/>
            <w:shd w:val="clear" w:color="auto" w:fill="auto"/>
            <w:vAlign w:val="center"/>
          </w:tcPr>
          <w:p>
            <w:pPr>
              <w:spacing w:before="20" w:after="20"/>
              <w:ind w:left="-57" w:right="-57"/>
              <w:jc w:val="center"/>
              <w:rPr>
                <w:b/>
                <w:bCs/>
                <w:color w:val="000000"/>
                <w:sz w:val="20"/>
                <w:szCs w:val="20"/>
              </w:rPr>
            </w:pPr>
            <w:r>
              <w:rPr>
                <w:b/>
                <w:bCs/>
                <w:color w:val="000000"/>
                <w:sz w:val="20"/>
                <w:szCs w:val="20"/>
              </w:rPr>
              <w:t>2018-2030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57" w:right="-57"/>
              <w:jc w:val="center"/>
              <w:rPr>
                <w:b/>
                <w:bCs/>
                <w:color w:val="000000"/>
                <w:sz w:val="20"/>
                <w:szCs w:val="20"/>
              </w:rPr>
            </w:pPr>
            <w:r>
              <w:rPr>
                <w:b/>
                <w:bCs/>
                <w:color w:val="000000"/>
                <w:sz w:val="20"/>
                <w:szCs w:val="20"/>
              </w:rPr>
              <w:t>Проекты по целям</w:t>
            </w:r>
          </w:p>
          <w:p>
            <w:pPr>
              <w:spacing w:before="20" w:after="20"/>
              <w:ind w:left="-57" w:right="-57"/>
              <w:rPr>
                <w:b/>
                <w:bCs/>
                <w:color w:val="000000"/>
                <w:sz w:val="20"/>
                <w:szCs w:val="20"/>
              </w:rPr>
            </w:pPr>
            <w:r>
              <w:rPr>
                <w:b/>
                <w:bCs/>
                <w:color w:val="000000"/>
                <w:sz w:val="20"/>
                <w:szCs w:val="20"/>
              </w:rPr>
              <w:t>реализации, в т.ч.:</w:t>
            </w:r>
          </w:p>
        </w:tc>
        <w:tc>
          <w:tcPr>
            <w:tcW w:w="863"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155 867</w:t>
            </w:r>
          </w:p>
        </w:tc>
        <w:tc>
          <w:tcPr>
            <w:tcW w:w="1076" w:type="dxa"/>
            <w:shd w:val="clear" w:color="auto" w:fill="auto"/>
            <w:vAlign w:val="center"/>
          </w:tcPr>
          <w:p>
            <w:pPr>
              <w:jc w:val="center"/>
              <w:rPr>
                <w:b/>
                <w:bCs/>
                <w:color w:val="000000"/>
                <w:sz w:val="20"/>
                <w:szCs w:val="20"/>
              </w:rPr>
            </w:pPr>
            <w:r>
              <w:rPr>
                <w:b/>
                <w:bCs/>
                <w:color w:val="000000"/>
                <w:sz w:val="20"/>
                <w:szCs w:val="20"/>
              </w:rPr>
              <w:t>112 978</w:t>
            </w:r>
          </w:p>
        </w:tc>
        <w:tc>
          <w:tcPr>
            <w:tcW w:w="1075" w:type="dxa"/>
            <w:shd w:val="clear" w:color="auto" w:fill="auto"/>
            <w:vAlign w:val="center"/>
          </w:tcPr>
          <w:p>
            <w:pPr>
              <w:jc w:val="center"/>
              <w:rPr>
                <w:b/>
                <w:bCs/>
                <w:color w:val="000000"/>
                <w:sz w:val="20"/>
                <w:szCs w:val="20"/>
              </w:rPr>
            </w:pPr>
            <w:r>
              <w:rPr>
                <w:b/>
                <w:bCs/>
                <w:color w:val="000000"/>
                <w:sz w:val="20"/>
                <w:szCs w:val="20"/>
              </w:rPr>
              <w:t>220 665</w:t>
            </w:r>
          </w:p>
        </w:tc>
        <w:tc>
          <w:tcPr>
            <w:tcW w:w="1296" w:type="dxa"/>
            <w:shd w:val="clear" w:color="auto" w:fill="auto"/>
            <w:vAlign w:val="center"/>
          </w:tcPr>
          <w:p>
            <w:pPr>
              <w:jc w:val="center"/>
              <w:rPr>
                <w:b/>
                <w:bCs/>
                <w:color w:val="000000"/>
                <w:sz w:val="20"/>
                <w:szCs w:val="20"/>
              </w:rPr>
            </w:pPr>
            <w:r>
              <w:rPr>
                <w:b/>
                <w:bCs/>
                <w:color w:val="000000"/>
                <w:sz w:val="20"/>
                <w:szCs w:val="20"/>
              </w:rPr>
              <w:t>923 127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148 606</w:t>
            </w:r>
          </w:p>
        </w:tc>
        <w:tc>
          <w:tcPr>
            <w:tcW w:w="1076" w:type="dxa"/>
            <w:shd w:val="clear" w:color="auto" w:fill="auto"/>
            <w:vAlign w:val="center"/>
          </w:tcPr>
          <w:p>
            <w:pPr>
              <w:jc w:val="center"/>
              <w:rPr>
                <w:color w:val="000000"/>
                <w:sz w:val="20"/>
                <w:szCs w:val="20"/>
              </w:rPr>
            </w:pPr>
            <w:r>
              <w:rPr>
                <w:color w:val="000000"/>
                <w:sz w:val="20"/>
                <w:szCs w:val="20"/>
              </w:rPr>
              <w:t>108 247</w:t>
            </w:r>
          </w:p>
        </w:tc>
        <w:tc>
          <w:tcPr>
            <w:tcW w:w="1075" w:type="dxa"/>
            <w:shd w:val="clear" w:color="auto" w:fill="auto"/>
            <w:vAlign w:val="center"/>
          </w:tcPr>
          <w:p>
            <w:pPr>
              <w:jc w:val="center"/>
              <w:rPr>
                <w:color w:val="000000"/>
                <w:sz w:val="20"/>
                <w:szCs w:val="20"/>
              </w:rPr>
            </w:pPr>
            <w:r>
              <w:rPr>
                <w:color w:val="000000"/>
                <w:sz w:val="20"/>
                <w:szCs w:val="20"/>
              </w:rPr>
              <w:t>213 404</w:t>
            </w:r>
          </w:p>
        </w:tc>
        <w:tc>
          <w:tcPr>
            <w:tcW w:w="1296" w:type="dxa"/>
            <w:shd w:val="clear" w:color="auto" w:fill="auto"/>
            <w:vAlign w:val="center"/>
          </w:tcPr>
          <w:p>
            <w:pPr>
              <w:jc w:val="center"/>
              <w:rPr>
                <w:color w:val="000000"/>
                <w:sz w:val="20"/>
                <w:szCs w:val="20"/>
              </w:rPr>
            </w:pPr>
            <w:r>
              <w:rPr>
                <w:color w:val="000000"/>
                <w:sz w:val="20"/>
                <w:szCs w:val="20"/>
              </w:rPr>
              <w:t>863 166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7 261</w:t>
            </w:r>
          </w:p>
        </w:tc>
        <w:tc>
          <w:tcPr>
            <w:tcW w:w="1076" w:type="dxa"/>
            <w:shd w:val="clear" w:color="auto" w:fill="auto"/>
            <w:vAlign w:val="center"/>
          </w:tcPr>
          <w:p>
            <w:pPr>
              <w:jc w:val="center"/>
              <w:rPr>
                <w:color w:val="000000"/>
                <w:sz w:val="20"/>
                <w:szCs w:val="20"/>
              </w:rPr>
            </w:pPr>
            <w:r>
              <w:rPr>
                <w:color w:val="000000"/>
                <w:sz w:val="20"/>
                <w:szCs w:val="20"/>
              </w:rPr>
              <w:t>4 731</w:t>
            </w:r>
          </w:p>
        </w:tc>
        <w:tc>
          <w:tcPr>
            <w:tcW w:w="1075" w:type="dxa"/>
            <w:shd w:val="clear" w:color="auto" w:fill="auto"/>
            <w:vAlign w:val="center"/>
          </w:tcPr>
          <w:p>
            <w:pPr>
              <w:jc w:val="center"/>
              <w:rPr>
                <w:color w:val="000000"/>
                <w:sz w:val="20"/>
                <w:szCs w:val="20"/>
              </w:rPr>
            </w:pPr>
            <w:r>
              <w:rPr>
                <w:color w:val="000000"/>
                <w:sz w:val="20"/>
                <w:szCs w:val="20"/>
              </w:rPr>
              <w:t>7 261</w:t>
            </w:r>
          </w:p>
        </w:tc>
        <w:tc>
          <w:tcPr>
            <w:tcW w:w="1296" w:type="dxa"/>
            <w:shd w:val="clear" w:color="auto" w:fill="auto"/>
            <w:vAlign w:val="center"/>
          </w:tcPr>
          <w:p>
            <w:pPr>
              <w:jc w:val="center"/>
              <w:rPr>
                <w:color w:val="000000"/>
                <w:sz w:val="20"/>
                <w:szCs w:val="20"/>
              </w:rPr>
            </w:pPr>
            <w:r>
              <w:rPr>
                <w:color w:val="000000"/>
                <w:sz w:val="20"/>
                <w:szCs w:val="20"/>
              </w:rPr>
              <w:t>59 962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863"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155 867</w:t>
            </w:r>
          </w:p>
        </w:tc>
        <w:tc>
          <w:tcPr>
            <w:tcW w:w="1076" w:type="dxa"/>
            <w:shd w:val="clear" w:color="auto" w:fill="auto"/>
            <w:vAlign w:val="center"/>
          </w:tcPr>
          <w:p>
            <w:pPr>
              <w:jc w:val="center"/>
              <w:rPr>
                <w:b/>
                <w:bCs/>
                <w:color w:val="000000"/>
                <w:sz w:val="20"/>
                <w:szCs w:val="20"/>
              </w:rPr>
            </w:pPr>
            <w:r>
              <w:rPr>
                <w:b/>
                <w:bCs/>
                <w:color w:val="000000"/>
                <w:sz w:val="20"/>
                <w:szCs w:val="20"/>
              </w:rPr>
              <w:t>112 978</w:t>
            </w:r>
          </w:p>
        </w:tc>
        <w:tc>
          <w:tcPr>
            <w:tcW w:w="1075" w:type="dxa"/>
            <w:shd w:val="clear" w:color="auto" w:fill="auto"/>
            <w:vAlign w:val="center"/>
          </w:tcPr>
          <w:p>
            <w:pPr>
              <w:jc w:val="center"/>
              <w:rPr>
                <w:b/>
                <w:bCs/>
                <w:color w:val="000000"/>
                <w:sz w:val="20"/>
                <w:szCs w:val="20"/>
              </w:rPr>
            </w:pPr>
            <w:r>
              <w:rPr>
                <w:b/>
                <w:bCs/>
                <w:color w:val="000000"/>
                <w:sz w:val="20"/>
                <w:szCs w:val="20"/>
              </w:rPr>
              <w:t>220 665</w:t>
            </w:r>
          </w:p>
        </w:tc>
        <w:tc>
          <w:tcPr>
            <w:tcW w:w="1296" w:type="dxa"/>
            <w:shd w:val="clear" w:color="auto" w:fill="auto"/>
            <w:vAlign w:val="center"/>
          </w:tcPr>
          <w:p>
            <w:pPr>
              <w:jc w:val="center"/>
              <w:rPr>
                <w:b/>
                <w:bCs/>
                <w:color w:val="000000"/>
                <w:sz w:val="20"/>
                <w:szCs w:val="20"/>
              </w:rPr>
            </w:pPr>
            <w:r>
              <w:rPr>
                <w:b/>
                <w:bCs/>
                <w:color w:val="000000"/>
                <w:sz w:val="20"/>
                <w:szCs w:val="20"/>
              </w:rPr>
              <w:t>923 127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3231</w:t>
            </w:r>
          </w:p>
        </w:tc>
        <w:tc>
          <w:tcPr>
            <w:tcW w:w="1076" w:type="dxa"/>
            <w:shd w:val="clear" w:color="auto" w:fill="auto"/>
            <w:vAlign w:val="center"/>
          </w:tcPr>
          <w:p>
            <w:pPr>
              <w:jc w:val="center"/>
              <w:rPr>
                <w:color w:val="000000"/>
                <w:sz w:val="20"/>
                <w:szCs w:val="20"/>
              </w:rPr>
            </w:pPr>
            <w:r>
              <w:rPr>
                <w:color w:val="000000"/>
                <w:sz w:val="20"/>
                <w:szCs w:val="20"/>
              </w:rPr>
              <w:t>2137</w:t>
            </w:r>
          </w:p>
        </w:tc>
        <w:tc>
          <w:tcPr>
            <w:tcW w:w="1075" w:type="dxa"/>
            <w:shd w:val="clear" w:color="auto" w:fill="auto"/>
            <w:vAlign w:val="center"/>
          </w:tcPr>
          <w:p>
            <w:pPr>
              <w:jc w:val="center"/>
              <w:rPr>
                <w:color w:val="000000"/>
                <w:sz w:val="20"/>
                <w:szCs w:val="20"/>
              </w:rPr>
            </w:pPr>
            <w:r>
              <w:rPr>
                <w:color w:val="000000"/>
                <w:sz w:val="20"/>
                <w:szCs w:val="20"/>
              </w:rPr>
              <w:t>5958</w:t>
            </w:r>
          </w:p>
        </w:tc>
        <w:tc>
          <w:tcPr>
            <w:tcW w:w="1296" w:type="dxa"/>
            <w:shd w:val="clear" w:color="auto" w:fill="auto"/>
            <w:vAlign w:val="center"/>
          </w:tcPr>
          <w:p>
            <w:pPr>
              <w:jc w:val="center"/>
              <w:rPr>
                <w:color w:val="000000"/>
                <w:sz w:val="20"/>
                <w:szCs w:val="20"/>
              </w:rPr>
            </w:pPr>
            <w:r>
              <w:rPr>
                <w:color w:val="000000"/>
                <w:sz w:val="20"/>
                <w:szCs w:val="20"/>
              </w:rPr>
              <w:t>24924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1601</w:t>
            </w:r>
          </w:p>
        </w:tc>
        <w:tc>
          <w:tcPr>
            <w:tcW w:w="1076" w:type="dxa"/>
            <w:shd w:val="clear" w:color="auto" w:fill="auto"/>
            <w:vAlign w:val="center"/>
          </w:tcPr>
          <w:p>
            <w:pPr>
              <w:jc w:val="center"/>
              <w:rPr>
                <w:color w:val="000000"/>
                <w:sz w:val="20"/>
                <w:szCs w:val="20"/>
              </w:rPr>
            </w:pPr>
            <w:r>
              <w:rPr>
                <w:color w:val="000000"/>
                <w:sz w:val="20"/>
                <w:szCs w:val="20"/>
              </w:rPr>
              <w:t>1139</w:t>
            </w:r>
          </w:p>
        </w:tc>
        <w:tc>
          <w:tcPr>
            <w:tcW w:w="1075" w:type="dxa"/>
            <w:shd w:val="clear" w:color="auto" w:fill="auto"/>
            <w:vAlign w:val="center"/>
          </w:tcPr>
          <w:p>
            <w:pPr>
              <w:jc w:val="center"/>
              <w:rPr>
                <w:color w:val="000000"/>
                <w:sz w:val="20"/>
                <w:szCs w:val="20"/>
              </w:rPr>
            </w:pPr>
            <w:r>
              <w:rPr>
                <w:color w:val="000000"/>
                <w:sz w:val="20"/>
                <w:szCs w:val="20"/>
              </w:rPr>
              <w:t>221</w:t>
            </w:r>
          </w:p>
        </w:tc>
        <w:tc>
          <w:tcPr>
            <w:tcW w:w="1296" w:type="dxa"/>
            <w:shd w:val="clear" w:color="auto" w:fill="auto"/>
            <w:vAlign w:val="center"/>
          </w:tcPr>
          <w:p>
            <w:pPr>
              <w:jc w:val="center"/>
              <w:rPr>
                <w:color w:val="000000"/>
                <w:sz w:val="20"/>
                <w:szCs w:val="20"/>
              </w:rPr>
            </w:pPr>
            <w:r>
              <w:rPr>
                <w:color w:val="000000"/>
                <w:sz w:val="20"/>
                <w:szCs w:val="20"/>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151035</w:t>
            </w:r>
          </w:p>
        </w:tc>
        <w:tc>
          <w:tcPr>
            <w:tcW w:w="1076" w:type="dxa"/>
            <w:shd w:val="clear" w:color="auto" w:fill="auto"/>
            <w:vAlign w:val="center"/>
          </w:tcPr>
          <w:p>
            <w:pPr>
              <w:jc w:val="center"/>
              <w:rPr>
                <w:color w:val="000000"/>
                <w:sz w:val="20"/>
                <w:szCs w:val="20"/>
              </w:rPr>
            </w:pPr>
            <w:r>
              <w:rPr>
                <w:color w:val="000000"/>
                <w:sz w:val="20"/>
                <w:szCs w:val="20"/>
              </w:rPr>
              <w:t>109702</w:t>
            </w:r>
          </w:p>
        </w:tc>
        <w:tc>
          <w:tcPr>
            <w:tcW w:w="1075" w:type="dxa"/>
            <w:shd w:val="clear" w:color="auto" w:fill="auto"/>
            <w:vAlign w:val="center"/>
          </w:tcPr>
          <w:p>
            <w:pPr>
              <w:jc w:val="center"/>
              <w:rPr>
                <w:color w:val="000000"/>
                <w:sz w:val="20"/>
                <w:szCs w:val="20"/>
              </w:rPr>
            </w:pPr>
            <w:r>
              <w:rPr>
                <w:color w:val="000000"/>
                <w:sz w:val="20"/>
                <w:szCs w:val="20"/>
              </w:rPr>
              <w:t>214487</w:t>
            </w:r>
          </w:p>
        </w:tc>
        <w:tc>
          <w:tcPr>
            <w:tcW w:w="1296" w:type="dxa"/>
            <w:shd w:val="clear" w:color="auto" w:fill="auto"/>
            <w:vAlign w:val="center"/>
          </w:tcPr>
          <w:p>
            <w:pPr>
              <w:jc w:val="center"/>
              <w:rPr>
                <w:color w:val="000000"/>
                <w:sz w:val="20"/>
                <w:szCs w:val="20"/>
              </w:rPr>
            </w:pPr>
            <w:r>
              <w:rPr>
                <w:color w:val="000000"/>
                <w:sz w:val="20"/>
                <w:szCs w:val="20"/>
              </w:rPr>
              <w:t>897280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600"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863"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155 867</w:t>
            </w:r>
          </w:p>
        </w:tc>
        <w:tc>
          <w:tcPr>
            <w:tcW w:w="1076" w:type="dxa"/>
            <w:shd w:val="clear" w:color="auto" w:fill="auto"/>
            <w:vAlign w:val="center"/>
          </w:tcPr>
          <w:p>
            <w:pPr>
              <w:jc w:val="center"/>
              <w:rPr>
                <w:b/>
                <w:bCs/>
                <w:color w:val="000000"/>
                <w:sz w:val="20"/>
                <w:szCs w:val="20"/>
              </w:rPr>
            </w:pPr>
            <w:r>
              <w:rPr>
                <w:b/>
                <w:bCs/>
                <w:color w:val="000000"/>
                <w:sz w:val="20"/>
                <w:szCs w:val="20"/>
              </w:rPr>
              <w:t>112 978</w:t>
            </w:r>
          </w:p>
        </w:tc>
        <w:tc>
          <w:tcPr>
            <w:tcW w:w="1075" w:type="dxa"/>
            <w:shd w:val="clear" w:color="auto" w:fill="auto"/>
            <w:vAlign w:val="center"/>
          </w:tcPr>
          <w:p>
            <w:pPr>
              <w:jc w:val="center"/>
              <w:rPr>
                <w:b/>
                <w:bCs/>
                <w:color w:val="000000"/>
                <w:sz w:val="20"/>
                <w:szCs w:val="20"/>
              </w:rPr>
            </w:pPr>
            <w:r>
              <w:rPr>
                <w:b/>
                <w:bCs/>
                <w:color w:val="000000"/>
                <w:sz w:val="20"/>
                <w:szCs w:val="20"/>
              </w:rPr>
              <w:t>220 665</w:t>
            </w:r>
          </w:p>
        </w:tc>
        <w:tc>
          <w:tcPr>
            <w:tcW w:w="1296" w:type="dxa"/>
            <w:shd w:val="clear" w:color="auto" w:fill="auto"/>
            <w:vAlign w:val="center"/>
          </w:tcPr>
          <w:p>
            <w:pPr>
              <w:jc w:val="center"/>
              <w:rPr>
                <w:b/>
                <w:bCs/>
                <w:color w:val="000000"/>
                <w:sz w:val="20"/>
                <w:szCs w:val="20"/>
              </w:rPr>
            </w:pPr>
            <w:r>
              <w:rPr>
                <w:b/>
                <w:bCs/>
                <w:color w:val="000000"/>
                <w:sz w:val="20"/>
                <w:szCs w:val="20"/>
              </w:rPr>
              <w:t>923 127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7 261</w:t>
            </w:r>
          </w:p>
        </w:tc>
        <w:tc>
          <w:tcPr>
            <w:tcW w:w="1076" w:type="dxa"/>
            <w:shd w:val="clear" w:color="auto" w:fill="auto"/>
            <w:vAlign w:val="center"/>
          </w:tcPr>
          <w:p>
            <w:pPr>
              <w:jc w:val="center"/>
              <w:rPr>
                <w:color w:val="000000"/>
                <w:sz w:val="20"/>
                <w:szCs w:val="20"/>
              </w:rPr>
            </w:pPr>
            <w:r>
              <w:rPr>
                <w:color w:val="000000"/>
                <w:sz w:val="20"/>
                <w:szCs w:val="20"/>
              </w:rPr>
              <w:t>4 731</w:t>
            </w:r>
          </w:p>
        </w:tc>
        <w:tc>
          <w:tcPr>
            <w:tcW w:w="1075" w:type="dxa"/>
            <w:shd w:val="clear" w:color="auto" w:fill="auto"/>
            <w:vAlign w:val="center"/>
          </w:tcPr>
          <w:p>
            <w:pPr>
              <w:jc w:val="center"/>
              <w:rPr>
                <w:color w:val="000000"/>
                <w:sz w:val="20"/>
                <w:szCs w:val="20"/>
              </w:rPr>
            </w:pPr>
            <w:r>
              <w:rPr>
                <w:color w:val="000000"/>
                <w:sz w:val="20"/>
                <w:szCs w:val="20"/>
              </w:rPr>
              <w:t>7 261</w:t>
            </w:r>
          </w:p>
        </w:tc>
        <w:tc>
          <w:tcPr>
            <w:tcW w:w="1296" w:type="dxa"/>
            <w:shd w:val="clear" w:color="auto" w:fill="auto"/>
            <w:vAlign w:val="center"/>
          </w:tcPr>
          <w:p>
            <w:pPr>
              <w:jc w:val="center"/>
              <w:rPr>
                <w:color w:val="000000"/>
                <w:sz w:val="20"/>
                <w:szCs w:val="20"/>
              </w:rPr>
            </w:pPr>
            <w:r>
              <w:rPr>
                <w:color w:val="000000"/>
                <w:sz w:val="20"/>
                <w:szCs w:val="20"/>
              </w:rPr>
              <w:t>59 962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148 606</w:t>
            </w:r>
          </w:p>
        </w:tc>
        <w:tc>
          <w:tcPr>
            <w:tcW w:w="1076" w:type="dxa"/>
            <w:shd w:val="clear" w:color="auto" w:fill="auto"/>
            <w:vAlign w:val="center"/>
          </w:tcPr>
          <w:p>
            <w:pPr>
              <w:jc w:val="center"/>
              <w:rPr>
                <w:color w:val="000000"/>
                <w:sz w:val="20"/>
                <w:szCs w:val="20"/>
              </w:rPr>
            </w:pPr>
            <w:r>
              <w:rPr>
                <w:color w:val="000000"/>
                <w:sz w:val="20"/>
                <w:szCs w:val="20"/>
              </w:rPr>
              <w:t>108 247</w:t>
            </w:r>
          </w:p>
        </w:tc>
        <w:tc>
          <w:tcPr>
            <w:tcW w:w="1075" w:type="dxa"/>
            <w:shd w:val="clear" w:color="auto" w:fill="auto"/>
            <w:vAlign w:val="center"/>
          </w:tcPr>
          <w:p>
            <w:pPr>
              <w:jc w:val="center"/>
              <w:rPr>
                <w:color w:val="000000"/>
                <w:sz w:val="20"/>
                <w:szCs w:val="20"/>
              </w:rPr>
            </w:pPr>
            <w:r>
              <w:rPr>
                <w:color w:val="000000"/>
                <w:sz w:val="20"/>
                <w:szCs w:val="20"/>
              </w:rPr>
              <w:t>213 404</w:t>
            </w:r>
          </w:p>
        </w:tc>
        <w:tc>
          <w:tcPr>
            <w:tcW w:w="1296" w:type="dxa"/>
            <w:shd w:val="clear" w:color="auto" w:fill="auto"/>
            <w:vAlign w:val="center"/>
          </w:tcPr>
          <w:p>
            <w:pPr>
              <w:jc w:val="center"/>
              <w:rPr>
                <w:color w:val="000000"/>
                <w:sz w:val="20"/>
                <w:szCs w:val="20"/>
              </w:rPr>
            </w:pPr>
            <w:r>
              <w:rPr>
                <w:color w:val="000000"/>
                <w:sz w:val="20"/>
                <w:szCs w:val="20"/>
              </w:rPr>
              <w:t>863 166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собственные средства</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00"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863"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6" w:type="dxa"/>
            <w:shd w:val="clear" w:color="auto" w:fill="auto"/>
            <w:vAlign w:val="center"/>
          </w:tcPr>
          <w:p>
            <w:pPr>
              <w:jc w:val="center"/>
              <w:rPr>
                <w:color w:val="000000"/>
                <w:sz w:val="20"/>
                <w:szCs w:val="20"/>
              </w:rPr>
            </w:pPr>
            <w:r>
              <w:rPr>
                <w:color w:val="000000"/>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Водоотведение</w:t>
      </w:r>
    </w:p>
    <w:p>
      <w:pPr>
        <w:spacing w:line="360" w:lineRule="auto"/>
        <w:ind w:firstLine="567"/>
        <w:jc w:val="both"/>
        <w:rPr>
          <w:color w:val="000000"/>
          <w:sz w:val="28"/>
          <w:szCs w:val="28"/>
        </w:rPr>
      </w:pPr>
      <w:r>
        <w:rPr>
          <w:color w:val="000000"/>
          <w:sz w:val="28"/>
          <w:szCs w:val="28"/>
        </w:rPr>
        <w:t>В таблице 6-3 представлены инвестиционные мероприятия настоящей Программы в системе водоотведения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6-3. Распределение мероприятий в системе водоотведения </w:t>
      </w:r>
    </w:p>
    <w:tbl>
      <w:tblPr>
        <w:tblStyle w:val="100"/>
        <w:tblW w:w="906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6"/>
        <w:gridCol w:w="1075"/>
        <w:gridCol w:w="1076"/>
        <w:gridCol w:w="1075"/>
        <w:gridCol w:w="1076"/>
        <w:gridCol w:w="107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675" w:type="dxa"/>
            <w:gridSpan w:val="6"/>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6" w:type="dxa"/>
            <w:vMerge w:val="continue"/>
            <w:vAlign w:val="center"/>
          </w:tcPr>
          <w:p>
            <w:pPr>
              <w:spacing w:before="20" w:after="20"/>
              <w:ind w:left="-57" w:right="-57"/>
              <w:rPr>
                <w:b/>
                <w:bCs/>
                <w:color w:val="000000"/>
                <w:sz w:val="20"/>
                <w:szCs w:val="20"/>
              </w:rPr>
            </w:pP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2018</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1076"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1075"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1298" w:type="dxa"/>
            <w:shd w:val="clear" w:color="auto" w:fill="auto"/>
            <w:vAlign w:val="center"/>
          </w:tcPr>
          <w:p>
            <w:pPr>
              <w:spacing w:before="20" w:after="20"/>
              <w:ind w:left="-57" w:right="-57"/>
              <w:jc w:val="center"/>
              <w:rPr>
                <w:b/>
                <w:bCs/>
                <w:color w:val="000000"/>
                <w:sz w:val="20"/>
                <w:szCs w:val="20"/>
              </w:rPr>
            </w:pPr>
            <w:r>
              <w:rPr>
                <w:b/>
                <w:bCs/>
                <w:color w:val="000000"/>
                <w:sz w:val="20"/>
                <w:szCs w:val="20"/>
              </w:rPr>
              <w:t>2018-2030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282 359</w:t>
            </w:r>
          </w:p>
        </w:tc>
        <w:tc>
          <w:tcPr>
            <w:tcW w:w="1076" w:type="dxa"/>
            <w:shd w:val="clear" w:color="auto" w:fill="auto"/>
            <w:vAlign w:val="center"/>
          </w:tcPr>
          <w:p>
            <w:pPr>
              <w:jc w:val="center"/>
              <w:rPr>
                <w:b/>
                <w:bCs/>
                <w:color w:val="000000"/>
                <w:sz w:val="20"/>
                <w:szCs w:val="20"/>
              </w:rPr>
            </w:pPr>
            <w:r>
              <w:rPr>
                <w:b/>
                <w:bCs/>
                <w:color w:val="000000"/>
                <w:sz w:val="20"/>
                <w:szCs w:val="20"/>
              </w:rPr>
              <w:t>214 352</w:t>
            </w:r>
          </w:p>
        </w:tc>
        <w:tc>
          <w:tcPr>
            <w:tcW w:w="1075" w:type="dxa"/>
            <w:shd w:val="clear" w:color="auto" w:fill="auto"/>
            <w:vAlign w:val="center"/>
          </w:tcPr>
          <w:p>
            <w:pPr>
              <w:jc w:val="center"/>
              <w:rPr>
                <w:b/>
                <w:bCs/>
                <w:color w:val="000000"/>
                <w:sz w:val="20"/>
                <w:szCs w:val="20"/>
              </w:rPr>
            </w:pPr>
            <w:r>
              <w:rPr>
                <w:b/>
                <w:bCs/>
                <w:color w:val="000000"/>
                <w:sz w:val="20"/>
                <w:szCs w:val="20"/>
              </w:rPr>
              <w:t>214 352</w:t>
            </w:r>
          </w:p>
        </w:tc>
        <w:tc>
          <w:tcPr>
            <w:tcW w:w="1298" w:type="dxa"/>
            <w:shd w:val="clear" w:color="auto" w:fill="auto"/>
            <w:vAlign w:val="center"/>
          </w:tcPr>
          <w:p>
            <w:pPr>
              <w:jc w:val="center"/>
              <w:rPr>
                <w:b/>
                <w:bCs/>
                <w:color w:val="000000"/>
                <w:sz w:val="20"/>
                <w:szCs w:val="20"/>
              </w:rPr>
            </w:pPr>
            <w:r>
              <w:rPr>
                <w:b/>
                <w:bCs/>
                <w:color w:val="000000"/>
                <w:sz w:val="20"/>
                <w:szCs w:val="20"/>
              </w:rPr>
              <w:t>865 469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246 152</w:t>
            </w:r>
          </w:p>
        </w:tc>
        <w:tc>
          <w:tcPr>
            <w:tcW w:w="1076" w:type="dxa"/>
            <w:shd w:val="clear" w:color="auto" w:fill="auto"/>
            <w:vAlign w:val="center"/>
          </w:tcPr>
          <w:p>
            <w:pPr>
              <w:jc w:val="center"/>
              <w:rPr>
                <w:color w:val="000000"/>
                <w:sz w:val="20"/>
                <w:szCs w:val="20"/>
              </w:rPr>
            </w:pPr>
            <w:r>
              <w:rPr>
                <w:color w:val="000000"/>
                <w:sz w:val="20"/>
                <w:szCs w:val="20"/>
              </w:rPr>
              <w:t>180 652</w:t>
            </w:r>
          </w:p>
        </w:tc>
        <w:tc>
          <w:tcPr>
            <w:tcW w:w="1075" w:type="dxa"/>
            <w:shd w:val="clear" w:color="auto" w:fill="auto"/>
            <w:vAlign w:val="center"/>
          </w:tcPr>
          <w:p>
            <w:pPr>
              <w:jc w:val="center"/>
              <w:rPr>
                <w:color w:val="000000"/>
                <w:sz w:val="20"/>
                <w:szCs w:val="20"/>
              </w:rPr>
            </w:pPr>
            <w:r>
              <w:rPr>
                <w:color w:val="000000"/>
                <w:sz w:val="20"/>
                <w:szCs w:val="20"/>
              </w:rPr>
              <w:t>180 652</w:t>
            </w:r>
          </w:p>
        </w:tc>
        <w:tc>
          <w:tcPr>
            <w:tcW w:w="1298" w:type="dxa"/>
            <w:shd w:val="clear" w:color="auto" w:fill="auto"/>
            <w:vAlign w:val="center"/>
          </w:tcPr>
          <w:p>
            <w:pPr>
              <w:jc w:val="center"/>
              <w:rPr>
                <w:color w:val="000000"/>
                <w:sz w:val="20"/>
                <w:szCs w:val="20"/>
              </w:rPr>
            </w:pPr>
            <w:r>
              <w:rPr>
                <w:color w:val="000000"/>
                <w:sz w:val="20"/>
                <w:szCs w:val="20"/>
              </w:rPr>
              <w:t>607 456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36 207</w:t>
            </w:r>
          </w:p>
        </w:tc>
        <w:tc>
          <w:tcPr>
            <w:tcW w:w="1076" w:type="dxa"/>
            <w:shd w:val="clear" w:color="auto" w:fill="auto"/>
            <w:vAlign w:val="center"/>
          </w:tcPr>
          <w:p>
            <w:pPr>
              <w:jc w:val="center"/>
              <w:rPr>
                <w:color w:val="000000"/>
                <w:sz w:val="20"/>
                <w:szCs w:val="20"/>
              </w:rPr>
            </w:pPr>
            <w:r>
              <w:rPr>
                <w:color w:val="000000"/>
                <w:sz w:val="20"/>
                <w:szCs w:val="20"/>
              </w:rPr>
              <w:t>33 700</w:t>
            </w:r>
          </w:p>
        </w:tc>
        <w:tc>
          <w:tcPr>
            <w:tcW w:w="1075" w:type="dxa"/>
            <w:shd w:val="clear" w:color="auto" w:fill="auto"/>
            <w:vAlign w:val="center"/>
          </w:tcPr>
          <w:p>
            <w:pPr>
              <w:jc w:val="center"/>
              <w:rPr>
                <w:color w:val="000000"/>
                <w:sz w:val="20"/>
                <w:szCs w:val="20"/>
              </w:rPr>
            </w:pPr>
            <w:r>
              <w:rPr>
                <w:color w:val="000000"/>
                <w:sz w:val="20"/>
                <w:szCs w:val="20"/>
              </w:rPr>
              <w:t>33 700</w:t>
            </w:r>
          </w:p>
        </w:tc>
        <w:tc>
          <w:tcPr>
            <w:tcW w:w="1298" w:type="dxa"/>
            <w:shd w:val="clear" w:color="auto" w:fill="auto"/>
            <w:vAlign w:val="center"/>
          </w:tcPr>
          <w:p>
            <w:pPr>
              <w:jc w:val="center"/>
              <w:rPr>
                <w:color w:val="000000"/>
                <w:sz w:val="20"/>
                <w:szCs w:val="20"/>
              </w:rPr>
            </w:pPr>
            <w:r>
              <w:rPr>
                <w:color w:val="000000"/>
                <w:sz w:val="20"/>
                <w:szCs w:val="20"/>
              </w:rPr>
              <w:t>258 013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282 359</w:t>
            </w:r>
          </w:p>
        </w:tc>
        <w:tc>
          <w:tcPr>
            <w:tcW w:w="1076" w:type="dxa"/>
            <w:shd w:val="clear" w:color="auto" w:fill="auto"/>
            <w:vAlign w:val="center"/>
          </w:tcPr>
          <w:p>
            <w:pPr>
              <w:jc w:val="center"/>
              <w:rPr>
                <w:b/>
                <w:bCs/>
                <w:color w:val="000000"/>
                <w:sz w:val="20"/>
                <w:szCs w:val="20"/>
              </w:rPr>
            </w:pPr>
            <w:r>
              <w:rPr>
                <w:b/>
                <w:bCs/>
                <w:color w:val="000000"/>
                <w:sz w:val="20"/>
                <w:szCs w:val="20"/>
              </w:rPr>
              <w:t>214 352</w:t>
            </w:r>
          </w:p>
        </w:tc>
        <w:tc>
          <w:tcPr>
            <w:tcW w:w="1075" w:type="dxa"/>
            <w:shd w:val="clear" w:color="auto" w:fill="auto"/>
            <w:vAlign w:val="center"/>
          </w:tcPr>
          <w:p>
            <w:pPr>
              <w:jc w:val="center"/>
              <w:rPr>
                <w:b/>
                <w:bCs/>
                <w:color w:val="000000"/>
                <w:sz w:val="20"/>
                <w:szCs w:val="20"/>
              </w:rPr>
            </w:pPr>
            <w:r>
              <w:rPr>
                <w:b/>
                <w:bCs/>
                <w:color w:val="000000"/>
                <w:sz w:val="20"/>
                <w:szCs w:val="20"/>
              </w:rPr>
              <w:t>214 352</w:t>
            </w:r>
          </w:p>
        </w:tc>
        <w:tc>
          <w:tcPr>
            <w:tcW w:w="1298" w:type="dxa"/>
            <w:shd w:val="clear" w:color="auto" w:fill="auto"/>
            <w:vAlign w:val="center"/>
          </w:tcPr>
          <w:p>
            <w:pPr>
              <w:jc w:val="center"/>
              <w:rPr>
                <w:b/>
                <w:bCs/>
                <w:color w:val="000000"/>
                <w:sz w:val="20"/>
                <w:szCs w:val="20"/>
              </w:rPr>
            </w:pPr>
            <w:r>
              <w:rPr>
                <w:b/>
                <w:bCs/>
                <w:color w:val="000000"/>
                <w:sz w:val="20"/>
                <w:szCs w:val="20"/>
              </w:rPr>
              <w:t>865 469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5853</w:t>
            </w:r>
          </w:p>
        </w:tc>
        <w:tc>
          <w:tcPr>
            <w:tcW w:w="1076" w:type="dxa"/>
            <w:shd w:val="clear" w:color="auto" w:fill="auto"/>
            <w:vAlign w:val="center"/>
          </w:tcPr>
          <w:p>
            <w:pPr>
              <w:jc w:val="center"/>
              <w:rPr>
                <w:color w:val="000000"/>
                <w:sz w:val="20"/>
                <w:szCs w:val="20"/>
              </w:rPr>
            </w:pPr>
            <w:r>
              <w:rPr>
                <w:color w:val="000000"/>
                <w:sz w:val="20"/>
                <w:szCs w:val="20"/>
              </w:rPr>
              <w:t>4055</w:t>
            </w:r>
          </w:p>
        </w:tc>
        <w:tc>
          <w:tcPr>
            <w:tcW w:w="1075" w:type="dxa"/>
            <w:shd w:val="clear" w:color="auto" w:fill="auto"/>
            <w:vAlign w:val="center"/>
          </w:tcPr>
          <w:p>
            <w:pPr>
              <w:jc w:val="center"/>
              <w:rPr>
                <w:color w:val="000000"/>
                <w:sz w:val="20"/>
                <w:szCs w:val="20"/>
              </w:rPr>
            </w:pPr>
            <w:r>
              <w:rPr>
                <w:color w:val="000000"/>
                <w:sz w:val="20"/>
                <w:szCs w:val="20"/>
              </w:rPr>
              <w:t>5788</w:t>
            </w:r>
          </w:p>
        </w:tc>
        <w:tc>
          <w:tcPr>
            <w:tcW w:w="1298" w:type="dxa"/>
            <w:shd w:val="clear" w:color="auto" w:fill="auto"/>
            <w:vAlign w:val="center"/>
          </w:tcPr>
          <w:p>
            <w:pPr>
              <w:jc w:val="center"/>
              <w:rPr>
                <w:color w:val="000000"/>
                <w:sz w:val="20"/>
                <w:szCs w:val="20"/>
              </w:rPr>
            </w:pPr>
            <w:r>
              <w:rPr>
                <w:color w:val="000000"/>
                <w:sz w:val="20"/>
                <w:szCs w:val="20"/>
              </w:rPr>
              <w:t>350974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2900</w:t>
            </w:r>
          </w:p>
        </w:tc>
        <w:tc>
          <w:tcPr>
            <w:tcW w:w="1076" w:type="dxa"/>
            <w:shd w:val="clear" w:color="auto" w:fill="auto"/>
            <w:vAlign w:val="center"/>
          </w:tcPr>
          <w:p>
            <w:pPr>
              <w:jc w:val="center"/>
              <w:rPr>
                <w:color w:val="000000"/>
                <w:sz w:val="20"/>
                <w:szCs w:val="20"/>
              </w:rPr>
            </w:pPr>
            <w:r>
              <w:rPr>
                <w:color w:val="000000"/>
                <w:sz w:val="20"/>
                <w:szCs w:val="20"/>
              </w:rPr>
              <w:t>2161</w:t>
            </w:r>
          </w:p>
        </w:tc>
        <w:tc>
          <w:tcPr>
            <w:tcW w:w="1075" w:type="dxa"/>
            <w:shd w:val="clear" w:color="auto" w:fill="auto"/>
            <w:vAlign w:val="center"/>
          </w:tcPr>
          <w:p>
            <w:pPr>
              <w:jc w:val="center"/>
              <w:rPr>
                <w:color w:val="000000"/>
                <w:sz w:val="20"/>
                <w:szCs w:val="20"/>
              </w:rPr>
            </w:pPr>
            <w:r>
              <w:rPr>
                <w:color w:val="000000"/>
                <w:sz w:val="20"/>
                <w:szCs w:val="20"/>
              </w:rPr>
              <w:t>214</w:t>
            </w:r>
          </w:p>
        </w:tc>
        <w:tc>
          <w:tcPr>
            <w:tcW w:w="1298" w:type="dxa"/>
            <w:shd w:val="clear" w:color="auto" w:fill="auto"/>
            <w:vAlign w:val="center"/>
          </w:tcPr>
          <w:p>
            <w:pPr>
              <w:jc w:val="center"/>
              <w:rPr>
                <w:color w:val="000000"/>
                <w:sz w:val="20"/>
                <w:szCs w:val="20"/>
              </w:rPr>
            </w:pPr>
            <w:r>
              <w:rPr>
                <w:color w:val="000000"/>
                <w:sz w:val="20"/>
                <w:szCs w:val="20"/>
              </w:rPr>
              <w:t>90415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273606</w:t>
            </w:r>
          </w:p>
        </w:tc>
        <w:tc>
          <w:tcPr>
            <w:tcW w:w="1076" w:type="dxa"/>
            <w:shd w:val="clear" w:color="auto" w:fill="auto"/>
            <w:vAlign w:val="center"/>
          </w:tcPr>
          <w:p>
            <w:pPr>
              <w:jc w:val="center"/>
              <w:rPr>
                <w:color w:val="000000"/>
                <w:sz w:val="20"/>
                <w:szCs w:val="20"/>
              </w:rPr>
            </w:pPr>
            <w:r>
              <w:rPr>
                <w:color w:val="000000"/>
                <w:sz w:val="20"/>
                <w:szCs w:val="20"/>
              </w:rPr>
              <w:t>208136</w:t>
            </w:r>
          </w:p>
        </w:tc>
        <w:tc>
          <w:tcPr>
            <w:tcW w:w="1075" w:type="dxa"/>
            <w:shd w:val="clear" w:color="auto" w:fill="auto"/>
            <w:vAlign w:val="center"/>
          </w:tcPr>
          <w:p>
            <w:pPr>
              <w:jc w:val="center"/>
              <w:rPr>
                <w:color w:val="000000"/>
                <w:sz w:val="20"/>
                <w:szCs w:val="20"/>
              </w:rPr>
            </w:pPr>
            <w:r>
              <w:rPr>
                <w:color w:val="000000"/>
                <w:sz w:val="20"/>
                <w:szCs w:val="20"/>
              </w:rPr>
              <w:t>208350</w:t>
            </w:r>
          </w:p>
        </w:tc>
        <w:tc>
          <w:tcPr>
            <w:tcW w:w="1298" w:type="dxa"/>
            <w:shd w:val="clear" w:color="auto" w:fill="auto"/>
            <w:vAlign w:val="center"/>
          </w:tcPr>
          <w:p>
            <w:pPr>
              <w:jc w:val="center"/>
              <w:rPr>
                <w:color w:val="000000"/>
                <w:sz w:val="20"/>
                <w:szCs w:val="20"/>
              </w:rPr>
            </w:pPr>
            <w:r>
              <w:rPr>
                <w:color w:val="000000"/>
                <w:sz w:val="20"/>
                <w:szCs w:val="20"/>
              </w:rPr>
              <w:t>424080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6"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1075" w:type="dxa"/>
            <w:shd w:val="clear" w:color="auto" w:fill="auto"/>
            <w:vAlign w:val="center"/>
          </w:tcPr>
          <w:p>
            <w:pPr>
              <w:jc w:val="center"/>
              <w:rPr>
                <w:b/>
                <w:bCs/>
                <w:color w:val="000000"/>
                <w:sz w:val="20"/>
                <w:szCs w:val="20"/>
              </w:rPr>
            </w:pPr>
            <w:r>
              <w:rPr>
                <w:b/>
                <w:bCs/>
                <w:color w:val="000000"/>
                <w:sz w:val="20"/>
                <w:szCs w:val="20"/>
              </w:rPr>
              <w:t>0</w:t>
            </w:r>
          </w:p>
        </w:tc>
        <w:tc>
          <w:tcPr>
            <w:tcW w:w="1076" w:type="dxa"/>
            <w:shd w:val="clear" w:color="auto" w:fill="auto"/>
            <w:vAlign w:val="center"/>
          </w:tcPr>
          <w:p>
            <w:pPr>
              <w:jc w:val="center"/>
              <w:rPr>
                <w:b/>
                <w:bCs/>
                <w:color w:val="000000"/>
                <w:sz w:val="20"/>
                <w:szCs w:val="20"/>
              </w:rPr>
            </w:pPr>
            <w:r>
              <w:rPr>
                <w:b/>
                <w:bCs/>
                <w:color w:val="000000"/>
                <w:sz w:val="20"/>
                <w:szCs w:val="20"/>
              </w:rPr>
              <w:t>0</w:t>
            </w:r>
          </w:p>
        </w:tc>
        <w:tc>
          <w:tcPr>
            <w:tcW w:w="1075" w:type="dxa"/>
            <w:shd w:val="clear" w:color="auto" w:fill="auto"/>
            <w:vAlign w:val="center"/>
          </w:tcPr>
          <w:p>
            <w:pPr>
              <w:jc w:val="center"/>
              <w:rPr>
                <w:b/>
                <w:bCs/>
                <w:color w:val="000000"/>
                <w:sz w:val="20"/>
                <w:szCs w:val="20"/>
              </w:rPr>
            </w:pPr>
            <w:r>
              <w:rPr>
                <w:b/>
                <w:bCs/>
                <w:color w:val="000000"/>
                <w:sz w:val="20"/>
                <w:szCs w:val="20"/>
              </w:rPr>
              <w:t>282 359</w:t>
            </w:r>
          </w:p>
        </w:tc>
        <w:tc>
          <w:tcPr>
            <w:tcW w:w="1076" w:type="dxa"/>
            <w:shd w:val="clear" w:color="auto" w:fill="auto"/>
            <w:vAlign w:val="center"/>
          </w:tcPr>
          <w:p>
            <w:pPr>
              <w:jc w:val="center"/>
              <w:rPr>
                <w:b/>
                <w:bCs/>
                <w:color w:val="000000"/>
                <w:sz w:val="20"/>
                <w:szCs w:val="20"/>
              </w:rPr>
            </w:pPr>
            <w:r>
              <w:rPr>
                <w:b/>
                <w:bCs/>
                <w:color w:val="000000"/>
                <w:sz w:val="20"/>
                <w:szCs w:val="20"/>
              </w:rPr>
              <w:t>214 352</w:t>
            </w:r>
          </w:p>
        </w:tc>
        <w:tc>
          <w:tcPr>
            <w:tcW w:w="1075" w:type="dxa"/>
            <w:shd w:val="clear" w:color="auto" w:fill="auto"/>
            <w:vAlign w:val="center"/>
          </w:tcPr>
          <w:p>
            <w:pPr>
              <w:jc w:val="center"/>
              <w:rPr>
                <w:b/>
                <w:bCs/>
                <w:color w:val="000000"/>
                <w:sz w:val="20"/>
                <w:szCs w:val="20"/>
              </w:rPr>
            </w:pPr>
            <w:r>
              <w:rPr>
                <w:b/>
                <w:bCs/>
                <w:color w:val="000000"/>
                <w:sz w:val="20"/>
                <w:szCs w:val="20"/>
              </w:rPr>
              <w:t>214 352</w:t>
            </w:r>
          </w:p>
        </w:tc>
        <w:tc>
          <w:tcPr>
            <w:tcW w:w="1298" w:type="dxa"/>
            <w:shd w:val="clear" w:color="auto" w:fill="auto"/>
            <w:vAlign w:val="center"/>
          </w:tcPr>
          <w:p>
            <w:pPr>
              <w:jc w:val="center"/>
              <w:rPr>
                <w:b/>
                <w:bCs/>
                <w:color w:val="000000"/>
                <w:sz w:val="20"/>
                <w:szCs w:val="20"/>
              </w:rPr>
            </w:pPr>
            <w:r>
              <w:rPr>
                <w:b/>
                <w:bCs/>
                <w:color w:val="000000"/>
                <w:sz w:val="20"/>
                <w:szCs w:val="20"/>
              </w:rPr>
              <w:t>865 469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36 207</w:t>
            </w:r>
          </w:p>
        </w:tc>
        <w:tc>
          <w:tcPr>
            <w:tcW w:w="1076" w:type="dxa"/>
            <w:shd w:val="clear" w:color="auto" w:fill="auto"/>
            <w:vAlign w:val="center"/>
          </w:tcPr>
          <w:p>
            <w:pPr>
              <w:jc w:val="center"/>
              <w:rPr>
                <w:color w:val="000000"/>
                <w:sz w:val="20"/>
                <w:szCs w:val="20"/>
              </w:rPr>
            </w:pPr>
            <w:r>
              <w:rPr>
                <w:color w:val="000000"/>
                <w:sz w:val="20"/>
                <w:szCs w:val="20"/>
              </w:rPr>
              <w:t>33 700</w:t>
            </w:r>
          </w:p>
        </w:tc>
        <w:tc>
          <w:tcPr>
            <w:tcW w:w="1075" w:type="dxa"/>
            <w:shd w:val="clear" w:color="auto" w:fill="auto"/>
            <w:vAlign w:val="center"/>
          </w:tcPr>
          <w:p>
            <w:pPr>
              <w:jc w:val="center"/>
              <w:rPr>
                <w:color w:val="000000"/>
                <w:sz w:val="20"/>
                <w:szCs w:val="20"/>
              </w:rPr>
            </w:pPr>
            <w:r>
              <w:rPr>
                <w:color w:val="000000"/>
                <w:sz w:val="20"/>
                <w:szCs w:val="20"/>
              </w:rPr>
              <w:t>33 700</w:t>
            </w:r>
          </w:p>
        </w:tc>
        <w:tc>
          <w:tcPr>
            <w:tcW w:w="1298" w:type="dxa"/>
            <w:shd w:val="clear" w:color="auto" w:fill="auto"/>
            <w:vAlign w:val="center"/>
          </w:tcPr>
          <w:p>
            <w:pPr>
              <w:jc w:val="center"/>
              <w:rPr>
                <w:color w:val="000000"/>
                <w:sz w:val="20"/>
                <w:szCs w:val="20"/>
              </w:rPr>
            </w:pPr>
            <w:r>
              <w:rPr>
                <w:color w:val="000000"/>
                <w:sz w:val="20"/>
                <w:szCs w:val="20"/>
              </w:rPr>
              <w:t>258 013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246 152</w:t>
            </w:r>
          </w:p>
        </w:tc>
        <w:tc>
          <w:tcPr>
            <w:tcW w:w="1076" w:type="dxa"/>
            <w:shd w:val="clear" w:color="auto" w:fill="auto"/>
            <w:vAlign w:val="center"/>
          </w:tcPr>
          <w:p>
            <w:pPr>
              <w:jc w:val="center"/>
              <w:rPr>
                <w:color w:val="000000"/>
                <w:sz w:val="20"/>
                <w:szCs w:val="20"/>
              </w:rPr>
            </w:pPr>
            <w:r>
              <w:rPr>
                <w:color w:val="000000"/>
                <w:sz w:val="20"/>
                <w:szCs w:val="20"/>
              </w:rPr>
              <w:t>180 652</w:t>
            </w:r>
          </w:p>
        </w:tc>
        <w:tc>
          <w:tcPr>
            <w:tcW w:w="1075" w:type="dxa"/>
            <w:shd w:val="clear" w:color="auto" w:fill="auto"/>
            <w:vAlign w:val="center"/>
          </w:tcPr>
          <w:p>
            <w:pPr>
              <w:jc w:val="center"/>
              <w:rPr>
                <w:color w:val="000000"/>
                <w:sz w:val="20"/>
                <w:szCs w:val="20"/>
              </w:rPr>
            </w:pPr>
            <w:r>
              <w:rPr>
                <w:color w:val="000000"/>
                <w:sz w:val="20"/>
                <w:szCs w:val="20"/>
              </w:rPr>
              <w:t>180 652</w:t>
            </w:r>
          </w:p>
        </w:tc>
        <w:tc>
          <w:tcPr>
            <w:tcW w:w="1298" w:type="dxa"/>
            <w:shd w:val="clear" w:color="auto" w:fill="auto"/>
            <w:vAlign w:val="center"/>
          </w:tcPr>
          <w:p>
            <w:pPr>
              <w:jc w:val="center"/>
              <w:rPr>
                <w:color w:val="000000"/>
                <w:sz w:val="20"/>
                <w:szCs w:val="20"/>
              </w:rPr>
            </w:pPr>
            <w:r>
              <w:rPr>
                <w:color w:val="000000"/>
                <w:sz w:val="20"/>
                <w:szCs w:val="20"/>
              </w:rPr>
              <w:t>607 456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собственные средства</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6"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076" w:type="dxa"/>
            <w:shd w:val="clear" w:color="auto" w:fill="auto"/>
            <w:vAlign w:val="center"/>
          </w:tcPr>
          <w:p>
            <w:pPr>
              <w:jc w:val="center"/>
              <w:rPr>
                <w:color w:val="000000"/>
                <w:sz w:val="20"/>
                <w:szCs w:val="20"/>
              </w:rPr>
            </w:pPr>
            <w:r>
              <w:rPr>
                <w:color w:val="000000"/>
                <w:sz w:val="20"/>
                <w:szCs w:val="20"/>
              </w:rPr>
              <w:t>0</w:t>
            </w:r>
          </w:p>
        </w:tc>
        <w:tc>
          <w:tcPr>
            <w:tcW w:w="1075" w:type="dxa"/>
            <w:shd w:val="clear" w:color="auto" w:fill="auto"/>
            <w:vAlign w:val="center"/>
          </w:tcPr>
          <w:p>
            <w:pPr>
              <w:jc w:val="center"/>
              <w:rPr>
                <w:color w:val="000000"/>
                <w:sz w:val="20"/>
                <w:szCs w:val="20"/>
              </w:rPr>
            </w:pPr>
            <w:r>
              <w:rPr>
                <w:color w:val="000000"/>
                <w:sz w:val="20"/>
                <w:szCs w:val="20"/>
              </w:rPr>
              <w:t>0</w:t>
            </w:r>
          </w:p>
        </w:tc>
        <w:tc>
          <w:tcPr>
            <w:tcW w:w="1298" w:type="dxa"/>
            <w:shd w:val="clear" w:color="auto" w:fill="auto"/>
            <w:vAlign w:val="center"/>
          </w:tcPr>
          <w:p>
            <w:pPr>
              <w:jc w:val="center"/>
              <w:rPr>
                <w:color w:val="000000"/>
                <w:sz w:val="20"/>
                <w:szCs w:val="20"/>
              </w:rPr>
            </w:pPr>
            <w:r>
              <w:rPr>
                <w:color w:val="000000"/>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spacing w:before="120" w:line="360" w:lineRule="auto"/>
        <w:jc w:val="both"/>
        <w:rPr>
          <w:color w:val="000000"/>
          <w:sz w:val="20"/>
          <w:szCs w:val="20"/>
        </w:rPr>
      </w:pPr>
    </w:p>
    <w:p>
      <w:pPr>
        <w:pStyle w:val="154"/>
        <w:numPr>
          <w:ilvl w:val="2"/>
          <w:numId w:val="30"/>
        </w:numPr>
        <w:spacing w:after="120" w:line="235" w:lineRule="auto"/>
        <w:ind w:left="1418" w:hanging="851"/>
        <w:jc w:val="both"/>
        <w:rPr>
          <w:sz w:val="28"/>
          <w:szCs w:val="28"/>
          <w:u w:val="single"/>
        </w:rPr>
      </w:pPr>
      <w:r>
        <w:rPr>
          <w:sz w:val="28"/>
          <w:szCs w:val="28"/>
          <w:u w:val="single"/>
        </w:rPr>
        <w:t>Электроснабжение</w:t>
      </w:r>
    </w:p>
    <w:p>
      <w:pPr>
        <w:spacing w:line="360" w:lineRule="auto"/>
        <w:ind w:firstLine="567"/>
        <w:jc w:val="both"/>
        <w:rPr>
          <w:color w:val="000000"/>
          <w:sz w:val="28"/>
          <w:szCs w:val="28"/>
        </w:rPr>
      </w:pPr>
      <w:r>
        <w:rPr>
          <w:color w:val="000000"/>
          <w:sz w:val="28"/>
          <w:szCs w:val="28"/>
        </w:rPr>
        <w:t>В таблице 6-4 представлены инвестиционные мероприятия настоящей Программы в системе электроснабжения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6-4. Распределение мероприятий в системе электроснабжения </w:t>
      </w:r>
    </w:p>
    <w:tbl>
      <w:tblPr>
        <w:tblStyle w:val="100"/>
        <w:tblW w:w="89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939"/>
        <w:gridCol w:w="941"/>
        <w:gridCol w:w="941"/>
        <w:gridCol w:w="939"/>
        <w:gridCol w:w="941"/>
        <w:gridCol w:w="941"/>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580"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3" w:type="dxa"/>
            <w:vMerge w:val="continue"/>
            <w:vAlign w:val="center"/>
          </w:tcPr>
          <w:p>
            <w:pPr>
              <w:spacing w:before="20" w:after="20"/>
              <w:ind w:left="-57" w:right="-57"/>
              <w:rPr>
                <w:b/>
                <w:bCs/>
                <w:color w:val="000000"/>
                <w:sz w:val="20"/>
                <w:szCs w:val="20"/>
              </w:rPr>
            </w:pP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41"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38"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939" w:type="dxa"/>
            <w:shd w:val="clear" w:color="auto" w:fill="auto"/>
            <w:vAlign w:val="center"/>
          </w:tcPr>
          <w:p>
            <w:pPr>
              <w:jc w:val="center"/>
              <w:rPr>
                <w:b/>
                <w:bCs/>
                <w:sz w:val="20"/>
                <w:szCs w:val="20"/>
              </w:rPr>
            </w:pPr>
            <w:r>
              <w:rPr>
                <w:b/>
                <w:bCs/>
                <w:sz w:val="20"/>
                <w:szCs w:val="20"/>
              </w:rPr>
              <w:t>583068</w:t>
            </w:r>
          </w:p>
        </w:tc>
        <w:tc>
          <w:tcPr>
            <w:tcW w:w="941" w:type="dxa"/>
            <w:shd w:val="clear" w:color="auto" w:fill="auto"/>
            <w:vAlign w:val="center"/>
          </w:tcPr>
          <w:p>
            <w:pPr>
              <w:jc w:val="center"/>
              <w:rPr>
                <w:b/>
                <w:bCs/>
                <w:sz w:val="20"/>
                <w:szCs w:val="20"/>
              </w:rPr>
            </w:pPr>
            <w:r>
              <w:rPr>
                <w:b/>
                <w:bCs/>
                <w:sz w:val="20"/>
                <w:szCs w:val="20"/>
              </w:rPr>
              <w:t>464560</w:t>
            </w:r>
          </w:p>
        </w:tc>
        <w:tc>
          <w:tcPr>
            <w:tcW w:w="941" w:type="dxa"/>
            <w:shd w:val="clear" w:color="auto" w:fill="auto"/>
            <w:vAlign w:val="center"/>
          </w:tcPr>
          <w:p>
            <w:pPr>
              <w:jc w:val="center"/>
              <w:rPr>
                <w:b/>
                <w:bCs/>
                <w:sz w:val="20"/>
                <w:szCs w:val="20"/>
              </w:rPr>
            </w:pPr>
            <w:r>
              <w:rPr>
                <w:b/>
                <w:bCs/>
                <w:sz w:val="20"/>
                <w:szCs w:val="20"/>
              </w:rPr>
              <w:t>9519</w:t>
            </w:r>
          </w:p>
        </w:tc>
        <w:tc>
          <w:tcPr>
            <w:tcW w:w="939" w:type="dxa"/>
            <w:shd w:val="clear" w:color="auto" w:fill="auto"/>
            <w:vAlign w:val="center"/>
          </w:tcPr>
          <w:p>
            <w:pPr>
              <w:jc w:val="center"/>
              <w:rPr>
                <w:b/>
                <w:bCs/>
                <w:sz w:val="20"/>
                <w:szCs w:val="20"/>
              </w:rPr>
            </w:pPr>
            <w:r>
              <w:rPr>
                <w:b/>
                <w:bCs/>
                <w:sz w:val="20"/>
                <w:szCs w:val="20"/>
              </w:rPr>
              <w:t>4710</w:t>
            </w:r>
          </w:p>
        </w:tc>
        <w:tc>
          <w:tcPr>
            <w:tcW w:w="941" w:type="dxa"/>
            <w:shd w:val="clear" w:color="auto" w:fill="auto"/>
            <w:vAlign w:val="center"/>
          </w:tcPr>
          <w:p>
            <w:pPr>
              <w:jc w:val="center"/>
              <w:rPr>
                <w:b/>
                <w:bCs/>
                <w:sz w:val="20"/>
                <w:szCs w:val="20"/>
              </w:rPr>
            </w:pPr>
            <w:r>
              <w:rPr>
                <w:b/>
                <w:bCs/>
                <w:sz w:val="20"/>
                <w:szCs w:val="20"/>
              </w:rPr>
              <w:t>0</w:t>
            </w:r>
          </w:p>
        </w:tc>
        <w:tc>
          <w:tcPr>
            <w:tcW w:w="941" w:type="dxa"/>
            <w:shd w:val="clear" w:color="auto" w:fill="auto"/>
            <w:vAlign w:val="center"/>
          </w:tcPr>
          <w:p>
            <w:pPr>
              <w:jc w:val="center"/>
              <w:rPr>
                <w:b/>
                <w:bCs/>
                <w:sz w:val="20"/>
                <w:szCs w:val="20"/>
              </w:rPr>
            </w:pPr>
            <w:r>
              <w:rPr>
                <w:b/>
                <w:bCs/>
                <w:sz w:val="20"/>
                <w:szCs w:val="20"/>
              </w:rPr>
              <w:t>0</w:t>
            </w:r>
          </w:p>
        </w:tc>
        <w:tc>
          <w:tcPr>
            <w:tcW w:w="938" w:type="dxa"/>
            <w:vAlign w:val="center"/>
          </w:tcPr>
          <w:p>
            <w:pPr>
              <w:jc w:val="center"/>
              <w:rPr>
                <w:b/>
                <w:bCs/>
                <w:sz w:val="20"/>
                <w:szCs w:val="20"/>
              </w:rPr>
            </w:pPr>
            <w:r>
              <w:rPr>
                <w:b/>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939" w:type="dxa"/>
            <w:shd w:val="clear" w:color="auto" w:fill="auto"/>
            <w:vAlign w:val="center"/>
          </w:tcPr>
          <w:p>
            <w:pPr>
              <w:jc w:val="center"/>
              <w:rPr>
                <w:bCs/>
                <w:sz w:val="20"/>
                <w:szCs w:val="20"/>
              </w:rPr>
            </w:pPr>
            <w:r>
              <w:rPr>
                <w:bCs/>
                <w:sz w:val="20"/>
                <w:szCs w:val="20"/>
              </w:rPr>
              <w:t>364585</w:t>
            </w:r>
          </w:p>
        </w:tc>
        <w:tc>
          <w:tcPr>
            <w:tcW w:w="941" w:type="dxa"/>
            <w:shd w:val="clear" w:color="auto" w:fill="auto"/>
            <w:vAlign w:val="center"/>
          </w:tcPr>
          <w:p>
            <w:pPr>
              <w:jc w:val="center"/>
              <w:rPr>
                <w:bCs/>
                <w:sz w:val="20"/>
                <w:szCs w:val="20"/>
              </w:rPr>
            </w:pPr>
            <w:r>
              <w:rPr>
                <w:bCs/>
                <w:sz w:val="20"/>
                <w:szCs w:val="20"/>
              </w:rPr>
              <w:t>264181</w:t>
            </w:r>
          </w:p>
        </w:tc>
        <w:tc>
          <w:tcPr>
            <w:tcW w:w="941" w:type="dxa"/>
            <w:shd w:val="clear" w:color="auto" w:fill="auto"/>
            <w:vAlign w:val="center"/>
          </w:tcPr>
          <w:p>
            <w:pPr>
              <w:jc w:val="center"/>
              <w:rPr>
                <w:bCs/>
                <w:sz w:val="20"/>
                <w:szCs w:val="20"/>
              </w:rPr>
            </w:pPr>
            <w:r>
              <w:rPr>
                <w:bCs/>
                <w:sz w:val="20"/>
                <w:szCs w:val="20"/>
              </w:rPr>
              <w:t>1308</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939" w:type="dxa"/>
            <w:shd w:val="clear" w:color="auto" w:fill="auto"/>
            <w:vAlign w:val="center"/>
          </w:tcPr>
          <w:p>
            <w:pPr>
              <w:jc w:val="center"/>
              <w:rPr>
                <w:bCs/>
                <w:sz w:val="20"/>
                <w:szCs w:val="20"/>
              </w:rPr>
            </w:pPr>
            <w:r>
              <w:rPr>
                <w:bCs/>
                <w:sz w:val="20"/>
                <w:szCs w:val="20"/>
              </w:rPr>
              <w:t>218483</w:t>
            </w:r>
          </w:p>
        </w:tc>
        <w:tc>
          <w:tcPr>
            <w:tcW w:w="941" w:type="dxa"/>
            <w:shd w:val="clear" w:color="auto" w:fill="auto"/>
            <w:vAlign w:val="center"/>
          </w:tcPr>
          <w:p>
            <w:pPr>
              <w:jc w:val="center"/>
              <w:rPr>
                <w:bCs/>
                <w:sz w:val="20"/>
                <w:szCs w:val="20"/>
              </w:rPr>
            </w:pPr>
            <w:r>
              <w:rPr>
                <w:bCs/>
                <w:sz w:val="20"/>
                <w:szCs w:val="20"/>
              </w:rPr>
              <w:t>200378</w:t>
            </w:r>
          </w:p>
        </w:tc>
        <w:tc>
          <w:tcPr>
            <w:tcW w:w="941" w:type="dxa"/>
            <w:shd w:val="clear" w:color="auto" w:fill="auto"/>
            <w:vAlign w:val="center"/>
          </w:tcPr>
          <w:p>
            <w:pPr>
              <w:jc w:val="center"/>
              <w:rPr>
                <w:bCs/>
                <w:sz w:val="20"/>
                <w:szCs w:val="20"/>
              </w:rPr>
            </w:pPr>
            <w:r>
              <w:rPr>
                <w:bCs/>
                <w:sz w:val="20"/>
                <w:szCs w:val="20"/>
              </w:rPr>
              <w:t>8211</w:t>
            </w:r>
          </w:p>
        </w:tc>
        <w:tc>
          <w:tcPr>
            <w:tcW w:w="939" w:type="dxa"/>
            <w:shd w:val="clear" w:color="auto" w:fill="auto"/>
            <w:vAlign w:val="center"/>
          </w:tcPr>
          <w:p>
            <w:pPr>
              <w:jc w:val="center"/>
              <w:rPr>
                <w:bCs/>
                <w:sz w:val="20"/>
                <w:szCs w:val="20"/>
              </w:rPr>
            </w:pPr>
            <w:r>
              <w:rPr>
                <w:bCs/>
                <w:sz w:val="20"/>
                <w:szCs w:val="20"/>
              </w:rPr>
              <w:t>4710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939" w:type="dxa"/>
            <w:shd w:val="clear" w:color="auto" w:fill="auto"/>
            <w:vAlign w:val="center"/>
          </w:tcPr>
          <w:p>
            <w:pPr>
              <w:jc w:val="center"/>
              <w:rPr>
                <w:bCs/>
                <w:sz w:val="20"/>
                <w:szCs w:val="20"/>
              </w:rPr>
            </w:pPr>
            <w:r>
              <w:rPr>
                <w:bCs/>
                <w:sz w:val="20"/>
                <w:szCs w:val="20"/>
              </w:rPr>
              <w:t>583068</w:t>
            </w:r>
          </w:p>
        </w:tc>
        <w:tc>
          <w:tcPr>
            <w:tcW w:w="941" w:type="dxa"/>
            <w:shd w:val="clear" w:color="auto" w:fill="auto"/>
            <w:vAlign w:val="center"/>
          </w:tcPr>
          <w:p>
            <w:pPr>
              <w:jc w:val="center"/>
              <w:rPr>
                <w:bCs/>
                <w:sz w:val="20"/>
                <w:szCs w:val="20"/>
              </w:rPr>
            </w:pPr>
            <w:r>
              <w:rPr>
                <w:bCs/>
                <w:sz w:val="20"/>
                <w:szCs w:val="20"/>
              </w:rPr>
              <w:t>464560</w:t>
            </w:r>
          </w:p>
        </w:tc>
        <w:tc>
          <w:tcPr>
            <w:tcW w:w="941" w:type="dxa"/>
            <w:shd w:val="clear" w:color="auto" w:fill="auto"/>
            <w:vAlign w:val="center"/>
          </w:tcPr>
          <w:p>
            <w:pPr>
              <w:jc w:val="center"/>
              <w:rPr>
                <w:bCs/>
                <w:sz w:val="20"/>
                <w:szCs w:val="20"/>
              </w:rPr>
            </w:pPr>
            <w:r>
              <w:rPr>
                <w:bCs/>
                <w:sz w:val="20"/>
                <w:szCs w:val="20"/>
              </w:rPr>
              <w:t>9519</w:t>
            </w:r>
          </w:p>
        </w:tc>
        <w:tc>
          <w:tcPr>
            <w:tcW w:w="939" w:type="dxa"/>
            <w:shd w:val="clear" w:color="auto" w:fill="auto"/>
            <w:vAlign w:val="center"/>
          </w:tcPr>
          <w:p>
            <w:pPr>
              <w:jc w:val="center"/>
              <w:rPr>
                <w:bCs/>
                <w:sz w:val="20"/>
                <w:szCs w:val="20"/>
              </w:rPr>
            </w:pPr>
            <w:r>
              <w:rPr>
                <w:bCs/>
                <w:sz w:val="20"/>
                <w:szCs w:val="20"/>
              </w:rPr>
              <w:t>4710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168925</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939" w:type="dxa"/>
            <w:shd w:val="clear" w:color="auto" w:fill="auto"/>
            <w:vAlign w:val="center"/>
          </w:tcPr>
          <w:p>
            <w:pPr>
              <w:jc w:val="center"/>
              <w:rPr>
                <w:bCs/>
                <w:sz w:val="20"/>
                <w:szCs w:val="20"/>
              </w:rPr>
            </w:pPr>
            <w:r>
              <w:rPr>
                <w:bCs/>
                <w:sz w:val="20"/>
                <w:szCs w:val="20"/>
              </w:rPr>
              <w:t>583068</w:t>
            </w:r>
          </w:p>
        </w:tc>
        <w:tc>
          <w:tcPr>
            <w:tcW w:w="941" w:type="dxa"/>
            <w:shd w:val="clear" w:color="auto" w:fill="auto"/>
            <w:vAlign w:val="center"/>
          </w:tcPr>
          <w:p>
            <w:pPr>
              <w:jc w:val="center"/>
              <w:rPr>
                <w:bCs/>
                <w:sz w:val="20"/>
                <w:szCs w:val="20"/>
              </w:rPr>
            </w:pPr>
            <w:r>
              <w:rPr>
                <w:bCs/>
                <w:sz w:val="20"/>
                <w:szCs w:val="20"/>
              </w:rPr>
              <w:t>295635</w:t>
            </w:r>
          </w:p>
        </w:tc>
        <w:tc>
          <w:tcPr>
            <w:tcW w:w="941" w:type="dxa"/>
            <w:shd w:val="clear" w:color="auto" w:fill="auto"/>
            <w:vAlign w:val="center"/>
          </w:tcPr>
          <w:p>
            <w:pPr>
              <w:jc w:val="center"/>
              <w:rPr>
                <w:bCs/>
                <w:sz w:val="20"/>
                <w:szCs w:val="20"/>
              </w:rPr>
            </w:pPr>
            <w:r>
              <w:rPr>
                <w:bCs/>
                <w:sz w:val="20"/>
                <w:szCs w:val="20"/>
              </w:rPr>
              <w:t>9519</w:t>
            </w:r>
          </w:p>
        </w:tc>
        <w:tc>
          <w:tcPr>
            <w:tcW w:w="939" w:type="dxa"/>
            <w:shd w:val="clear" w:color="auto" w:fill="auto"/>
            <w:vAlign w:val="center"/>
          </w:tcPr>
          <w:p>
            <w:pPr>
              <w:jc w:val="center"/>
              <w:rPr>
                <w:bCs/>
                <w:sz w:val="20"/>
                <w:szCs w:val="20"/>
              </w:rPr>
            </w:pPr>
            <w:r>
              <w:rPr>
                <w:bCs/>
                <w:sz w:val="20"/>
                <w:szCs w:val="20"/>
              </w:rPr>
              <w:t>4710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939" w:type="dxa"/>
            <w:shd w:val="clear" w:color="auto" w:fill="auto"/>
            <w:vAlign w:val="center"/>
          </w:tcPr>
          <w:p>
            <w:pPr>
              <w:jc w:val="center"/>
              <w:rPr>
                <w:bCs/>
                <w:sz w:val="20"/>
                <w:szCs w:val="20"/>
              </w:rPr>
            </w:pPr>
            <w:r>
              <w:rPr>
                <w:bCs/>
                <w:sz w:val="20"/>
                <w:szCs w:val="20"/>
              </w:rPr>
              <w:t>583068</w:t>
            </w:r>
          </w:p>
        </w:tc>
        <w:tc>
          <w:tcPr>
            <w:tcW w:w="941" w:type="dxa"/>
            <w:shd w:val="clear" w:color="auto" w:fill="auto"/>
            <w:vAlign w:val="center"/>
          </w:tcPr>
          <w:p>
            <w:pPr>
              <w:jc w:val="center"/>
              <w:rPr>
                <w:bCs/>
                <w:sz w:val="20"/>
                <w:szCs w:val="20"/>
              </w:rPr>
            </w:pPr>
            <w:r>
              <w:rPr>
                <w:bCs/>
                <w:sz w:val="20"/>
                <w:szCs w:val="20"/>
              </w:rPr>
              <w:t>464560</w:t>
            </w:r>
          </w:p>
        </w:tc>
        <w:tc>
          <w:tcPr>
            <w:tcW w:w="941" w:type="dxa"/>
            <w:shd w:val="clear" w:color="auto" w:fill="auto"/>
            <w:vAlign w:val="center"/>
          </w:tcPr>
          <w:p>
            <w:pPr>
              <w:jc w:val="center"/>
              <w:rPr>
                <w:bCs/>
                <w:sz w:val="20"/>
                <w:szCs w:val="20"/>
              </w:rPr>
            </w:pPr>
            <w:r>
              <w:rPr>
                <w:bCs/>
                <w:sz w:val="20"/>
                <w:szCs w:val="20"/>
              </w:rPr>
              <w:t>9519</w:t>
            </w:r>
          </w:p>
        </w:tc>
        <w:tc>
          <w:tcPr>
            <w:tcW w:w="939" w:type="dxa"/>
            <w:shd w:val="clear" w:color="auto" w:fill="auto"/>
            <w:vAlign w:val="center"/>
          </w:tcPr>
          <w:p>
            <w:pPr>
              <w:jc w:val="center"/>
              <w:rPr>
                <w:bCs/>
                <w:sz w:val="20"/>
                <w:szCs w:val="20"/>
              </w:rPr>
            </w:pPr>
            <w:r>
              <w:rPr>
                <w:bCs/>
                <w:sz w:val="20"/>
                <w:szCs w:val="20"/>
              </w:rPr>
              <w:t>4710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939" w:type="dxa"/>
            <w:shd w:val="clear" w:color="auto" w:fill="auto"/>
            <w:vAlign w:val="center"/>
          </w:tcPr>
          <w:p>
            <w:pPr>
              <w:jc w:val="center"/>
              <w:rPr>
                <w:bCs/>
                <w:sz w:val="20"/>
                <w:szCs w:val="20"/>
              </w:rPr>
            </w:pPr>
            <w:r>
              <w:rPr>
                <w:bCs/>
                <w:sz w:val="20"/>
                <w:szCs w:val="20"/>
              </w:rPr>
              <w:t>83802</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939" w:type="dxa"/>
            <w:shd w:val="clear" w:color="auto" w:fill="auto"/>
            <w:vAlign w:val="center"/>
          </w:tcPr>
          <w:p>
            <w:pPr>
              <w:jc w:val="center"/>
              <w:rPr>
                <w:bCs/>
                <w:sz w:val="20"/>
                <w:szCs w:val="20"/>
              </w:rPr>
            </w:pPr>
            <w:r>
              <w:rPr>
                <w:bCs/>
                <w:sz w:val="20"/>
                <w:szCs w:val="20"/>
              </w:rPr>
              <w:t>364585</w:t>
            </w:r>
          </w:p>
        </w:tc>
        <w:tc>
          <w:tcPr>
            <w:tcW w:w="941" w:type="dxa"/>
            <w:shd w:val="clear" w:color="auto" w:fill="auto"/>
            <w:vAlign w:val="center"/>
          </w:tcPr>
          <w:p>
            <w:pPr>
              <w:jc w:val="center"/>
              <w:rPr>
                <w:bCs/>
                <w:sz w:val="20"/>
                <w:szCs w:val="20"/>
              </w:rPr>
            </w:pPr>
            <w:r>
              <w:rPr>
                <w:bCs/>
                <w:sz w:val="20"/>
                <w:szCs w:val="20"/>
              </w:rPr>
              <w:t>264181</w:t>
            </w:r>
          </w:p>
        </w:tc>
        <w:tc>
          <w:tcPr>
            <w:tcW w:w="941" w:type="dxa"/>
            <w:shd w:val="clear" w:color="auto" w:fill="auto"/>
            <w:vAlign w:val="center"/>
          </w:tcPr>
          <w:p>
            <w:pPr>
              <w:jc w:val="center"/>
              <w:rPr>
                <w:bCs/>
                <w:sz w:val="20"/>
                <w:szCs w:val="20"/>
              </w:rPr>
            </w:pPr>
            <w:r>
              <w:rPr>
                <w:bCs/>
                <w:sz w:val="20"/>
                <w:szCs w:val="20"/>
              </w:rPr>
              <w:t>1308</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939" w:type="dxa"/>
            <w:shd w:val="clear" w:color="auto" w:fill="auto"/>
            <w:vAlign w:val="center"/>
          </w:tcPr>
          <w:p>
            <w:pPr>
              <w:jc w:val="center"/>
              <w:rPr>
                <w:bCs/>
                <w:sz w:val="20"/>
                <w:szCs w:val="20"/>
              </w:rPr>
            </w:pPr>
            <w:r>
              <w:rPr>
                <w:bCs/>
                <w:sz w:val="20"/>
                <w:szCs w:val="20"/>
              </w:rPr>
              <w:t>134681</w:t>
            </w:r>
          </w:p>
        </w:tc>
        <w:tc>
          <w:tcPr>
            <w:tcW w:w="941" w:type="dxa"/>
            <w:shd w:val="clear" w:color="auto" w:fill="auto"/>
            <w:vAlign w:val="center"/>
          </w:tcPr>
          <w:p>
            <w:pPr>
              <w:jc w:val="center"/>
              <w:rPr>
                <w:bCs/>
                <w:sz w:val="20"/>
                <w:szCs w:val="20"/>
              </w:rPr>
            </w:pPr>
            <w:r>
              <w:rPr>
                <w:bCs/>
                <w:sz w:val="20"/>
                <w:szCs w:val="20"/>
              </w:rPr>
              <w:t>200378</w:t>
            </w:r>
          </w:p>
        </w:tc>
        <w:tc>
          <w:tcPr>
            <w:tcW w:w="941" w:type="dxa"/>
            <w:shd w:val="clear" w:color="auto" w:fill="auto"/>
            <w:vAlign w:val="center"/>
          </w:tcPr>
          <w:p>
            <w:pPr>
              <w:jc w:val="center"/>
              <w:rPr>
                <w:bCs/>
                <w:sz w:val="20"/>
                <w:szCs w:val="20"/>
              </w:rPr>
            </w:pPr>
            <w:r>
              <w:rPr>
                <w:bCs/>
                <w:sz w:val="20"/>
                <w:szCs w:val="20"/>
              </w:rPr>
              <w:t>8211</w:t>
            </w:r>
          </w:p>
        </w:tc>
        <w:tc>
          <w:tcPr>
            <w:tcW w:w="939" w:type="dxa"/>
            <w:shd w:val="clear" w:color="auto" w:fill="auto"/>
            <w:vAlign w:val="center"/>
          </w:tcPr>
          <w:p>
            <w:pPr>
              <w:jc w:val="center"/>
              <w:rPr>
                <w:bCs/>
                <w:sz w:val="20"/>
                <w:szCs w:val="20"/>
              </w:rPr>
            </w:pPr>
            <w:r>
              <w:rPr>
                <w:bCs/>
                <w:sz w:val="20"/>
                <w:szCs w:val="20"/>
              </w:rPr>
              <w:t>4710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41" w:type="dxa"/>
            <w:shd w:val="clear" w:color="auto" w:fill="auto"/>
            <w:vAlign w:val="center"/>
          </w:tcPr>
          <w:p>
            <w:pPr>
              <w:jc w:val="center"/>
              <w:rPr>
                <w:bCs/>
                <w:sz w:val="20"/>
                <w:szCs w:val="20"/>
              </w:rPr>
            </w:pPr>
            <w:r>
              <w:rPr>
                <w:bCs/>
                <w:sz w:val="20"/>
                <w:szCs w:val="20"/>
              </w:rPr>
              <w:t>0</w:t>
            </w:r>
          </w:p>
        </w:tc>
        <w:tc>
          <w:tcPr>
            <w:tcW w:w="938" w:type="dxa"/>
            <w:vAlign w:val="center"/>
          </w:tcPr>
          <w:p>
            <w:pPr>
              <w:jc w:val="center"/>
              <w:rPr>
                <w:bCs/>
                <w:sz w:val="20"/>
                <w:szCs w:val="20"/>
              </w:rPr>
            </w:pPr>
            <w:r>
              <w:rPr>
                <w:bCs/>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Газоснабжение</w:t>
      </w:r>
    </w:p>
    <w:p>
      <w:pPr>
        <w:spacing w:line="360" w:lineRule="auto"/>
        <w:ind w:firstLine="709"/>
        <w:jc w:val="both"/>
        <w:rPr>
          <w:color w:val="000000"/>
          <w:sz w:val="28"/>
          <w:szCs w:val="28"/>
        </w:rPr>
      </w:pPr>
      <w:r>
        <w:rPr>
          <w:color w:val="000000"/>
          <w:sz w:val="28"/>
          <w:szCs w:val="28"/>
        </w:rPr>
        <w:t>В таблице 6-5 представлены инвестиционные мероприятия настоящей Программы в системе газоснабжения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6-5. Распределение мероприятий в системе газоснабжения </w:t>
      </w:r>
    </w:p>
    <w:tbl>
      <w:tblPr>
        <w:tblStyle w:val="100"/>
        <w:tblW w:w="89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939"/>
        <w:gridCol w:w="941"/>
        <w:gridCol w:w="941"/>
        <w:gridCol w:w="939"/>
        <w:gridCol w:w="941"/>
        <w:gridCol w:w="941"/>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580"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3" w:type="dxa"/>
            <w:vMerge w:val="continue"/>
            <w:vAlign w:val="center"/>
          </w:tcPr>
          <w:p>
            <w:pPr>
              <w:spacing w:before="20" w:after="20"/>
              <w:ind w:left="-57" w:right="-57"/>
              <w:rPr>
                <w:b/>
                <w:bCs/>
                <w:color w:val="000000"/>
                <w:sz w:val="20"/>
                <w:szCs w:val="20"/>
              </w:rPr>
            </w:pP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41"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41"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38"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939" w:type="dxa"/>
            <w:shd w:val="clear" w:color="auto" w:fill="auto"/>
            <w:vAlign w:val="center"/>
          </w:tcPr>
          <w:p>
            <w:pPr>
              <w:jc w:val="center"/>
              <w:rPr>
                <w:b/>
                <w:bCs/>
                <w:sz w:val="20"/>
                <w:szCs w:val="20"/>
              </w:rPr>
            </w:pPr>
            <w:r>
              <w:rPr>
                <w:b/>
                <w:bCs/>
                <w:sz w:val="20"/>
                <w:szCs w:val="20"/>
              </w:rPr>
              <w:t>0</w:t>
            </w:r>
          </w:p>
        </w:tc>
        <w:tc>
          <w:tcPr>
            <w:tcW w:w="941" w:type="dxa"/>
            <w:shd w:val="clear" w:color="auto" w:fill="auto"/>
            <w:vAlign w:val="center"/>
          </w:tcPr>
          <w:p>
            <w:pPr>
              <w:jc w:val="center"/>
              <w:rPr>
                <w:b/>
                <w:bCs/>
                <w:sz w:val="20"/>
                <w:szCs w:val="20"/>
              </w:rPr>
            </w:pPr>
            <w:r>
              <w:rPr>
                <w:b/>
                <w:bCs/>
                <w:sz w:val="20"/>
                <w:szCs w:val="20"/>
              </w:rPr>
              <w:t>5748</w:t>
            </w:r>
          </w:p>
        </w:tc>
        <w:tc>
          <w:tcPr>
            <w:tcW w:w="941" w:type="dxa"/>
            <w:shd w:val="clear" w:color="auto" w:fill="auto"/>
            <w:vAlign w:val="center"/>
          </w:tcPr>
          <w:p>
            <w:pPr>
              <w:jc w:val="center"/>
              <w:rPr>
                <w:b/>
                <w:bCs/>
                <w:sz w:val="20"/>
                <w:szCs w:val="20"/>
              </w:rPr>
            </w:pPr>
            <w:r>
              <w:rPr>
                <w:b/>
                <w:bCs/>
                <w:sz w:val="20"/>
                <w:szCs w:val="20"/>
              </w:rPr>
              <w:t>25753</w:t>
            </w:r>
          </w:p>
        </w:tc>
        <w:tc>
          <w:tcPr>
            <w:tcW w:w="939" w:type="dxa"/>
            <w:shd w:val="clear" w:color="auto" w:fill="auto"/>
            <w:vAlign w:val="center"/>
          </w:tcPr>
          <w:p>
            <w:pPr>
              <w:jc w:val="center"/>
              <w:rPr>
                <w:b/>
                <w:bCs/>
                <w:sz w:val="20"/>
                <w:szCs w:val="20"/>
              </w:rPr>
            </w:pPr>
            <w:r>
              <w:rPr>
                <w:b/>
                <w:bCs/>
                <w:sz w:val="20"/>
                <w:szCs w:val="20"/>
              </w:rPr>
              <w:t>36157</w:t>
            </w:r>
          </w:p>
        </w:tc>
        <w:tc>
          <w:tcPr>
            <w:tcW w:w="941" w:type="dxa"/>
            <w:shd w:val="clear" w:color="auto" w:fill="auto"/>
            <w:vAlign w:val="center"/>
          </w:tcPr>
          <w:p>
            <w:pPr>
              <w:jc w:val="center"/>
              <w:rPr>
                <w:b/>
                <w:bCs/>
                <w:sz w:val="20"/>
                <w:szCs w:val="20"/>
              </w:rPr>
            </w:pPr>
            <w:r>
              <w:rPr>
                <w:b/>
                <w:bCs/>
                <w:sz w:val="20"/>
                <w:szCs w:val="20"/>
              </w:rPr>
              <w:t>27790</w:t>
            </w:r>
          </w:p>
        </w:tc>
        <w:tc>
          <w:tcPr>
            <w:tcW w:w="941" w:type="dxa"/>
            <w:shd w:val="clear" w:color="auto" w:fill="auto"/>
            <w:vAlign w:val="center"/>
          </w:tcPr>
          <w:p>
            <w:pPr>
              <w:jc w:val="center"/>
              <w:rPr>
                <w:b/>
                <w:bCs/>
                <w:sz w:val="20"/>
                <w:szCs w:val="20"/>
              </w:rPr>
            </w:pPr>
            <w:r>
              <w:rPr>
                <w:b/>
                <w:bCs/>
                <w:sz w:val="20"/>
                <w:szCs w:val="20"/>
              </w:rPr>
              <w:t>43190</w:t>
            </w:r>
          </w:p>
        </w:tc>
        <w:tc>
          <w:tcPr>
            <w:tcW w:w="938" w:type="dxa"/>
            <w:vAlign w:val="center"/>
          </w:tcPr>
          <w:p>
            <w:pPr>
              <w:jc w:val="center"/>
              <w:rPr>
                <w:b/>
                <w:bCs/>
                <w:sz w:val="20"/>
                <w:szCs w:val="20"/>
              </w:rPr>
            </w:pPr>
            <w:r>
              <w:rPr>
                <w:b/>
                <w:bCs/>
                <w:sz w:val="20"/>
                <w:szCs w:val="20"/>
              </w:rPr>
              <w:t>33883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5748</w:t>
            </w:r>
          </w:p>
        </w:tc>
        <w:tc>
          <w:tcPr>
            <w:tcW w:w="941" w:type="dxa"/>
            <w:shd w:val="clear" w:color="auto" w:fill="auto"/>
            <w:vAlign w:val="center"/>
          </w:tcPr>
          <w:p>
            <w:pPr>
              <w:jc w:val="center"/>
              <w:rPr>
                <w:sz w:val="20"/>
                <w:szCs w:val="20"/>
              </w:rPr>
            </w:pPr>
            <w:r>
              <w:rPr>
                <w:sz w:val="20"/>
                <w:szCs w:val="20"/>
              </w:rPr>
              <w:t>15696</w:t>
            </w:r>
          </w:p>
        </w:tc>
        <w:tc>
          <w:tcPr>
            <w:tcW w:w="939" w:type="dxa"/>
            <w:shd w:val="clear" w:color="auto" w:fill="auto"/>
            <w:vAlign w:val="center"/>
          </w:tcPr>
          <w:p>
            <w:pPr>
              <w:jc w:val="center"/>
              <w:rPr>
                <w:sz w:val="20"/>
                <w:szCs w:val="20"/>
              </w:rPr>
            </w:pPr>
            <w:r>
              <w:rPr>
                <w:sz w:val="20"/>
                <w:szCs w:val="20"/>
              </w:rPr>
              <w:t>25729</w:t>
            </w:r>
          </w:p>
        </w:tc>
        <w:tc>
          <w:tcPr>
            <w:tcW w:w="941" w:type="dxa"/>
            <w:shd w:val="clear" w:color="auto" w:fill="auto"/>
            <w:vAlign w:val="center"/>
          </w:tcPr>
          <w:p>
            <w:pPr>
              <w:jc w:val="center"/>
              <w:rPr>
                <w:sz w:val="20"/>
                <w:szCs w:val="20"/>
              </w:rPr>
            </w:pPr>
            <w:r>
              <w:rPr>
                <w:sz w:val="20"/>
                <w:szCs w:val="20"/>
              </w:rPr>
              <w:t>16976</w:t>
            </w:r>
          </w:p>
        </w:tc>
        <w:tc>
          <w:tcPr>
            <w:tcW w:w="941" w:type="dxa"/>
            <w:shd w:val="clear" w:color="auto" w:fill="auto"/>
            <w:vAlign w:val="center"/>
          </w:tcPr>
          <w:p>
            <w:pPr>
              <w:jc w:val="center"/>
              <w:rPr>
                <w:sz w:val="20"/>
                <w:szCs w:val="20"/>
              </w:rPr>
            </w:pPr>
            <w:r>
              <w:rPr>
                <w:sz w:val="20"/>
                <w:szCs w:val="20"/>
              </w:rPr>
              <w:t>30519</w:t>
            </w:r>
          </w:p>
        </w:tc>
        <w:tc>
          <w:tcPr>
            <w:tcW w:w="938" w:type="dxa"/>
            <w:vAlign w:val="center"/>
          </w:tcPr>
          <w:p>
            <w:pPr>
              <w:jc w:val="center"/>
              <w:rPr>
                <w:sz w:val="20"/>
                <w:szCs w:val="20"/>
              </w:rPr>
            </w:pPr>
            <w:r>
              <w:rPr>
                <w:sz w:val="20"/>
                <w:szCs w:val="20"/>
              </w:rPr>
              <w:t>20238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10057</w:t>
            </w:r>
          </w:p>
        </w:tc>
        <w:tc>
          <w:tcPr>
            <w:tcW w:w="939" w:type="dxa"/>
            <w:shd w:val="clear" w:color="auto" w:fill="auto"/>
            <w:vAlign w:val="center"/>
          </w:tcPr>
          <w:p>
            <w:pPr>
              <w:jc w:val="center"/>
              <w:rPr>
                <w:sz w:val="20"/>
                <w:szCs w:val="20"/>
              </w:rPr>
            </w:pPr>
            <w:r>
              <w:rPr>
                <w:sz w:val="20"/>
                <w:szCs w:val="20"/>
              </w:rPr>
              <w:t>10429</w:t>
            </w:r>
          </w:p>
        </w:tc>
        <w:tc>
          <w:tcPr>
            <w:tcW w:w="941" w:type="dxa"/>
            <w:shd w:val="clear" w:color="auto" w:fill="auto"/>
            <w:vAlign w:val="center"/>
          </w:tcPr>
          <w:p>
            <w:pPr>
              <w:jc w:val="center"/>
              <w:rPr>
                <w:sz w:val="20"/>
                <w:szCs w:val="20"/>
              </w:rPr>
            </w:pPr>
            <w:r>
              <w:rPr>
                <w:sz w:val="20"/>
                <w:szCs w:val="20"/>
              </w:rPr>
              <w:t>10815</w:t>
            </w:r>
          </w:p>
        </w:tc>
        <w:tc>
          <w:tcPr>
            <w:tcW w:w="941" w:type="dxa"/>
            <w:shd w:val="clear" w:color="auto" w:fill="auto"/>
            <w:vAlign w:val="center"/>
          </w:tcPr>
          <w:p>
            <w:pPr>
              <w:jc w:val="center"/>
              <w:rPr>
                <w:sz w:val="20"/>
                <w:szCs w:val="20"/>
              </w:rPr>
            </w:pPr>
            <w:r>
              <w:rPr>
                <w:sz w:val="20"/>
                <w:szCs w:val="20"/>
              </w:rPr>
              <w:t>12670</w:t>
            </w:r>
          </w:p>
        </w:tc>
        <w:tc>
          <w:tcPr>
            <w:tcW w:w="938" w:type="dxa"/>
            <w:vAlign w:val="center"/>
          </w:tcPr>
          <w:p>
            <w:pPr>
              <w:jc w:val="center"/>
              <w:rPr>
                <w:sz w:val="20"/>
                <w:szCs w:val="20"/>
              </w:rPr>
            </w:pPr>
            <w:r>
              <w:rPr>
                <w:sz w:val="20"/>
                <w:szCs w:val="20"/>
              </w:rPr>
              <w:t>13645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939" w:type="dxa"/>
            <w:shd w:val="clear" w:color="auto" w:fill="auto"/>
            <w:vAlign w:val="center"/>
          </w:tcPr>
          <w:p>
            <w:pPr>
              <w:jc w:val="center"/>
              <w:rPr>
                <w:b/>
                <w:bCs/>
                <w:sz w:val="20"/>
                <w:szCs w:val="20"/>
              </w:rPr>
            </w:pPr>
            <w:r>
              <w:rPr>
                <w:b/>
                <w:bCs/>
                <w:sz w:val="20"/>
                <w:szCs w:val="20"/>
              </w:rPr>
              <w:t>0</w:t>
            </w:r>
          </w:p>
        </w:tc>
        <w:tc>
          <w:tcPr>
            <w:tcW w:w="941" w:type="dxa"/>
            <w:shd w:val="clear" w:color="auto" w:fill="auto"/>
            <w:vAlign w:val="center"/>
          </w:tcPr>
          <w:p>
            <w:pPr>
              <w:jc w:val="center"/>
              <w:rPr>
                <w:b/>
                <w:bCs/>
                <w:sz w:val="20"/>
                <w:szCs w:val="20"/>
              </w:rPr>
            </w:pPr>
            <w:r>
              <w:rPr>
                <w:b/>
                <w:bCs/>
                <w:sz w:val="20"/>
                <w:szCs w:val="20"/>
              </w:rPr>
              <w:t>5748</w:t>
            </w:r>
          </w:p>
        </w:tc>
        <w:tc>
          <w:tcPr>
            <w:tcW w:w="941" w:type="dxa"/>
            <w:shd w:val="clear" w:color="auto" w:fill="auto"/>
            <w:vAlign w:val="center"/>
          </w:tcPr>
          <w:p>
            <w:pPr>
              <w:jc w:val="center"/>
              <w:rPr>
                <w:b/>
                <w:bCs/>
                <w:sz w:val="20"/>
                <w:szCs w:val="20"/>
              </w:rPr>
            </w:pPr>
            <w:r>
              <w:rPr>
                <w:b/>
                <w:bCs/>
                <w:sz w:val="20"/>
                <w:szCs w:val="20"/>
              </w:rPr>
              <w:t>25753</w:t>
            </w:r>
          </w:p>
        </w:tc>
        <w:tc>
          <w:tcPr>
            <w:tcW w:w="939" w:type="dxa"/>
            <w:shd w:val="clear" w:color="auto" w:fill="auto"/>
            <w:vAlign w:val="center"/>
          </w:tcPr>
          <w:p>
            <w:pPr>
              <w:jc w:val="center"/>
              <w:rPr>
                <w:b/>
                <w:bCs/>
                <w:sz w:val="20"/>
                <w:szCs w:val="20"/>
              </w:rPr>
            </w:pPr>
            <w:r>
              <w:rPr>
                <w:b/>
                <w:bCs/>
                <w:sz w:val="20"/>
                <w:szCs w:val="20"/>
              </w:rPr>
              <w:t>36157</w:t>
            </w:r>
          </w:p>
        </w:tc>
        <w:tc>
          <w:tcPr>
            <w:tcW w:w="941" w:type="dxa"/>
            <w:shd w:val="clear" w:color="auto" w:fill="auto"/>
            <w:vAlign w:val="center"/>
          </w:tcPr>
          <w:p>
            <w:pPr>
              <w:jc w:val="center"/>
              <w:rPr>
                <w:b/>
                <w:bCs/>
                <w:sz w:val="20"/>
                <w:szCs w:val="20"/>
              </w:rPr>
            </w:pPr>
            <w:r>
              <w:rPr>
                <w:b/>
                <w:bCs/>
                <w:sz w:val="20"/>
                <w:szCs w:val="20"/>
              </w:rPr>
              <w:t>27790</w:t>
            </w:r>
          </w:p>
        </w:tc>
        <w:tc>
          <w:tcPr>
            <w:tcW w:w="941" w:type="dxa"/>
            <w:shd w:val="clear" w:color="auto" w:fill="auto"/>
            <w:vAlign w:val="center"/>
          </w:tcPr>
          <w:p>
            <w:pPr>
              <w:jc w:val="center"/>
              <w:rPr>
                <w:b/>
                <w:bCs/>
                <w:sz w:val="20"/>
                <w:szCs w:val="20"/>
              </w:rPr>
            </w:pPr>
            <w:r>
              <w:rPr>
                <w:b/>
                <w:bCs/>
                <w:sz w:val="20"/>
                <w:szCs w:val="20"/>
              </w:rPr>
              <w:t>43190</w:t>
            </w:r>
          </w:p>
        </w:tc>
        <w:tc>
          <w:tcPr>
            <w:tcW w:w="938" w:type="dxa"/>
            <w:vAlign w:val="center"/>
          </w:tcPr>
          <w:p>
            <w:pPr>
              <w:jc w:val="center"/>
              <w:rPr>
                <w:b/>
                <w:bCs/>
                <w:sz w:val="20"/>
                <w:szCs w:val="20"/>
              </w:rPr>
            </w:pPr>
            <w:r>
              <w:rPr>
                <w:b/>
                <w:bCs/>
                <w:sz w:val="20"/>
                <w:szCs w:val="20"/>
              </w:rPr>
              <w:t>33883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5748</w:t>
            </w:r>
          </w:p>
        </w:tc>
        <w:tc>
          <w:tcPr>
            <w:tcW w:w="941" w:type="dxa"/>
            <w:shd w:val="clear" w:color="auto" w:fill="auto"/>
            <w:vAlign w:val="center"/>
          </w:tcPr>
          <w:p>
            <w:pPr>
              <w:jc w:val="center"/>
              <w:rPr>
                <w:sz w:val="20"/>
                <w:szCs w:val="20"/>
              </w:rPr>
            </w:pPr>
            <w:r>
              <w:rPr>
                <w:sz w:val="20"/>
                <w:szCs w:val="20"/>
              </w:rPr>
              <w:t>25753</w:t>
            </w:r>
          </w:p>
        </w:tc>
        <w:tc>
          <w:tcPr>
            <w:tcW w:w="939" w:type="dxa"/>
            <w:shd w:val="clear" w:color="auto" w:fill="auto"/>
            <w:vAlign w:val="center"/>
          </w:tcPr>
          <w:p>
            <w:pPr>
              <w:jc w:val="center"/>
              <w:rPr>
                <w:sz w:val="20"/>
                <w:szCs w:val="20"/>
              </w:rPr>
            </w:pPr>
            <w:r>
              <w:rPr>
                <w:sz w:val="20"/>
                <w:szCs w:val="20"/>
              </w:rPr>
              <w:t>36157</w:t>
            </w:r>
          </w:p>
        </w:tc>
        <w:tc>
          <w:tcPr>
            <w:tcW w:w="941" w:type="dxa"/>
            <w:shd w:val="clear" w:color="auto" w:fill="auto"/>
            <w:vAlign w:val="center"/>
          </w:tcPr>
          <w:p>
            <w:pPr>
              <w:jc w:val="center"/>
              <w:rPr>
                <w:sz w:val="20"/>
                <w:szCs w:val="20"/>
              </w:rPr>
            </w:pPr>
            <w:r>
              <w:rPr>
                <w:sz w:val="20"/>
                <w:szCs w:val="20"/>
              </w:rPr>
              <w:t>27790</w:t>
            </w:r>
          </w:p>
        </w:tc>
        <w:tc>
          <w:tcPr>
            <w:tcW w:w="941" w:type="dxa"/>
            <w:shd w:val="clear" w:color="auto" w:fill="auto"/>
            <w:vAlign w:val="center"/>
          </w:tcPr>
          <w:p>
            <w:pPr>
              <w:jc w:val="center"/>
              <w:rPr>
                <w:sz w:val="20"/>
                <w:szCs w:val="20"/>
              </w:rPr>
            </w:pPr>
            <w:r>
              <w:rPr>
                <w:sz w:val="20"/>
                <w:szCs w:val="20"/>
              </w:rPr>
              <w:t>43190</w:t>
            </w:r>
          </w:p>
        </w:tc>
        <w:tc>
          <w:tcPr>
            <w:tcW w:w="938" w:type="dxa"/>
            <w:vAlign w:val="center"/>
          </w:tcPr>
          <w:p>
            <w:pPr>
              <w:jc w:val="center"/>
              <w:rPr>
                <w:sz w:val="20"/>
                <w:szCs w:val="20"/>
              </w:rPr>
            </w:pPr>
            <w:r>
              <w:rPr>
                <w:sz w:val="20"/>
                <w:szCs w:val="20"/>
              </w:rPr>
              <w:t>33883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939" w:type="dxa"/>
            <w:shd w:val="clear" w:color="auto" w:fill="auto"/>
            <w:vAlign w:val="center"/>
          </w:tcPr>
          <w:p>
            <w:pPr>
              <w:jc w:val="center"/>
              <w:rPr>
                <w:b/>
                <w:bCs/>
                <w:sz w:val="20"/>
                <w:szCs w:val="20"/>
              </w:rPr>
            </w:pPr>
            <w:r>
              <w:rPr>
                <w:b/>
                <w:bCs/>
                <w:sz w:val="20"/>
                <w:szCs w:val="20"/>
              </w:rPr>
              <w:t>0</w:t>
            </w:r>
          </w:p>
        </w:tc>
        <w:tc>
          <w:tcPr>
            <w:tcW w:w="941" w:type="dxa"/>
            <w:shd w:val="clear" w:color="auto" w:fill="auto"/>
            <w:vAlign w:val="center"/>
          </w:tcPr>
          <w:p>
            <w:pPr>
              <w:jc w:val="center"/>
              <w:rPr>
                <w:b/>
                <w:bCs/>
                <w:sz w:val="20"/>
                <w:szCs w:val="20"/>
              </w:rPr>
            </w:pPr>
            <w:r>
              <w:rPr>
                <w:b/>
                <w:bCs/>
                <w:sz w:val="20"/>
                <w:szCs w:val="20"/>
              </w:rPr>
              <w:t>5748</w:t>
            </w:r>
          </w:p>
        </w:tc>
        <w:tc>
          <w:tcPr>
            <w:tcW w:w="941" w:type="dxa"/>
            <w:shd w:val="clear" w:color="auto" w:fill="auto"/>
            <w:vAlign w:val="center"/>
          </w:tcPr>
          <w:p>
            <w:pPr>
              <w:jc w:val="center"/>
              <w:rPr>
                <w:b/>
                <w:bCs/>
                <w:sz w:val="20"/>
                <w:szCs w:val="20"/>
              </w:rPr>
            </w:pPr>
            <w:r>
              <w:rPr>
                <w:b/>
                <w:bCs/>
                <w:sz w:val="20"/>
                <w:szCs w:val="20"/>
              </w:rPr>
              <w:t>25753</w:t>
            </w:r>
          </w:p>
        </w:tc>
        <w:tc>
          <w:tcPr>
            <w:tcW w:w="939" w:type="dxa"/>
            <w:shd w:val="clear" w:color="auto" w:fill="auto"/>
            <w:vAlign w:val="center"/>
          </w:tcPr>
          <w:p>
            <w:pPr>
              <w:jc w:val="center"/>
              <w:rPr>
                <w:b/>
                <w:bCs/>
                <w:sz w:val="20"/>
                <w:szCs w:val="20"/>
              </w:rPr>
            </w:pPr>
            <w:r>
              <w:rPr>
                <w:b/>
                <w:bCs/>
                <w:sz w:val="20"/>
                <w:szCs w:val="20"/>
              </w:rPr>
              <w:t>36157</w:t>
            </w:r>
          </w:p>
        </w:tc>
        <w:tc>
          <w:tcPr>
            <w:tcW w:w="941" w:type="dxa"/>
            <w:shd w:val="clear" w:color="auto" w:fill="auto"/>
            <w:vAlign w:val="center"/>
          </w:tcPr>
          <w:p>
            <w:pPr>
              <w:jc w:val="center"/>
              <w:rPr>
                <w:b/>
                <w:bCs/>
                <w:sz w:val="20"/>
                <w:szCs w:val="20"/>
              </w:rPr>
            </w:pPr>
            <w:r>
              <w:rPr>
                <w:b/>
                <w:bCs/>
                <w:sz w:val="20"/>
                <w:szCs w:val="20"/>
              </w:rPr>
              <w:t>27790</w:t>
            </w:r>
          </w:p>
        </w:tc>
        <w:tc>
          <w:tcPr>
            <w:tcW w:w="941" w:type="dxa"/>
            <w:shd w:val="clear" w:color="auto" w:fill="auto"/>
            <w:vAlign w:val="center"/>
          </w:tcPr>
          <w:p>
            <w:pPr>
              <w:jc w:val="center"/>
              <w:rPr>
                <w:b/>
                <w:bCs/>
                <w:sz w:val="20"/>
                <w:szCs w:val="20"/>
              </w:rPr>
            </w:pPr>
            <w:r>
              <w:rPr>
                <w:b/>
                <w:bCs/>
                <w:sz w:val="20"/>
                <w:szCs w:val="20"/>
              </w:rPr>
              <w:t>43190</w:t>
            </w:r>
          </w:p>
        </w:tc>
        <w:tc>
          <w:tcPr>
            <w:tcW w:w="938" w:type="dxa"/>
            <w:vAlign w:val="center"/>
          </w:tcPr>
          <w:p>
            <w:pPr>
              <w:jc w:val="center"/>
              <w:rPr>
                <w:b/>
                <w:bCs/>
                <w:sz w:val="20"/>
                <w:szCs w:val="20"/>
              </w:rPr>
            </w:pPr>
            <w:r>
              <w:rPr>
                <w:b/>
                <w:bCs/>
                <w:sz w:val="20"/>
                <w:szCs w:val="20"/>
              </w:rPr>
              <w:t>33883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5748</w:t>
            </w:r>
          </w:p>
        </w:tc>
        <w:tc>
          <w:tcPr>
            <w:tcW w:w="941" w:type="dxa"/>
            <w:shd w:val="clear" w:color="auto" w:fill="auto"/>
            <w:vAlign w:val="center"/>
          </w:tcPr>
          <w:p>
            <w:pPr>
              <w:jc w:val="center"/>
              <w:rPr>
                <w:sz w:val="20"/>
                <w:szCs w:val="20"/>
              </w:rPr>
            </w:pPr>
            <w:r>
              <w:rPr>
                <w:sz w:val="20"/>
                <w:szCs w:val="20"/>
              </w:rPr>
              <w:t>25753</w:t>
            </w:r>
          </w:p>
        </w:tc>
        <w:tc>
          <w:tcPr>
            <w:tcW w:w="939" w:type="dxa"/>
            <w:shd w:val="clear" w:color="auto" w:fill="auto"/>
            <w:vAlign w:val="center"/>
          </w:tcPr>
          <w:p>
            <w:pPr>
              <w:jc w:val="center"/>
              <w:rPr>
                <w:sz w:val="20"/>
                <w:szCs w:val="20"/>
              </w:rPr>
            </w:pPr>
            <w:r>
              <w:rPr>
                <w:sz w:val="20"/>
                <w:szCs w:val="20"/>
              </w:rPr>
              <w:t>36157</w:t>
            </w:r>
          </w:p>
        </w:tc>
        <w:tc>
          <w:tcPr>
            <w:tcW w:w="941" w:type="dxa"/>
            <w:shd w:val="clear" w:color="auto" w:fill="auto"/>
            <w:vAlign w:val="center"/>
          </w:tcPr>
          <w:p>
            <w:pPr>
              <w:jc w:val="center"/>
              <w:rPr>
                <w:sz w:val="20"/>
                <w:szCs w:val="20"/>
              </w:rPr>
            </w:pPr>
            <w:r>
              <w:rPr>
                <w:sz w:val="20"/>
                <w:szCs w:val="20"/>
              </w:rPr>
              <w:t>27790</w:t>
            </w:r>
          </w:p>
        </w:tc>
        <w:tc>
          <w:tcPr>
            <w:tcW w:w="941" w:type="dxa"/>
            <w:shd w:val="clear" w:color="auto" w:fill="auto"/>
            <w:vAlign w:val="center"/>
          </w:tcPr>
          <w:p>
            <w:pPr>
              <w:jc w:val="center"/>
              <w:rPr>
                <w:sz w:val="20"/>
                <w:szCs w:val="20"/>
              </w:rPr>
            </w:pPr>
            <w:r>
              <w:rPr>
                <w:sz w:val="20"/>
                <w:szCs w:val="20"/>
              </w:rPr>
              <w:t>43190</w:t>
            </w:r>
          </w:p>
        </w:tc>
        <w:tc>
          <w:tcPr>
            <w:tcW w:w="938" w:type="dxa"/>
            <w:vAlign w:val="center"/>
          </w:tcPr>
          <w:p>
            <w:pPr>
              <w:jc w:val="center"/>
              <w:rPr>
                <w:sz w:val="20"/>
                <w:szCs w:val="20"/>
              </w:rPr>
            </w:pPr>
            <w:r>
              <w:rPr>
                <w:sz w:val="20"/>
                <w:szCs w:val="20"/>
              </w:rPr>
              <w:t>33883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41" w:type="dxa"/>
            <w:shd w:val="clear" w:color="auto" w:fill="auto"/>
            <w:vAlign w:val="center"/>
          </w:tcPr>
          <w:p>
            <w:pPr>
              <w:jc w:val="center"/>
              <w:rPr>
                <w:sz w:val="20"/>
                <w:szCs w:val="20"/>
              </w:rPr>
            </w:pPr>
            <w:r>
              <w:rPr>
                <w:sz w:val="20"/>
                <w:szCs w:val="20"/>
              </w:rPr>
              <w:t>0</w:t>
            </w:r>
          </w:p>
        </w:tc>
        <w:tc>
          <w:tcPr>
            <w:tcW w:w="938" w:type="dxa"/>
            <w:vAlign w:val="center"/>
          </w:tcPr>
          <w:p>
            <w:pPr>
              <w:jc w:val="center"/>
              <w:rPr>
                <w:sz w:val="20"/>
                <w:szCs w:val="20"/>
              </w:rPr>
            </w:pPr>
            <w:r>
              <w:rPr>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spacing w:before="120" w:line="360" w:lineRule="auto"/>
        <w:jc w:val="both"/>
        <w:rPr>
          <w:color w:val="000000"/>
          <w:sz w:val="20"/>
          <w:szCs w:val="20"/>
        </w:rPr>
      </w:pPr>
    </w:p>
    <w:p>
      <w:pPr>
        <w:pStyle w:val="154"/>
        <w:numPr>
          <w:ilvl w:val="2"/>
          <w:numId w:val="30"/>
        </w:numPr>
        <w:spacing w:after="120" w:line="235" w:lineRule="auto"/>
        <w:ind w:hanging="863"/>
        <w:jc w:val="both"/>
        <w:rPr>
          <w:sz w:val="28"/>
          <w:szCs w:val="28"/>
          <w:u w:val="single"/>
        </w:rPr>
      </w:pPr>
      <w:r>
        <w:rPr>
          <w:sz w:val="28"/>
          <w:szCs w:val="28"/>
          <w:u w:val="single"/>
        </w:rPr>
        <w:t>Обращение твердых коммунальных отходов</w:t>
      </w:r>
    </w:p>
    <w:p>
      <w:pPr>
        <w:spacing w:line="360" w:lineRule="auto"/>
        <w:ind w:firstLine="567"/>
        <w:jc w:val="both"/>
        <w:rPr>
          <w:color w:val="000000"/>
          <w:sz w:val="28"/>
          <w:szCs w:val="28"/>
        </w:rPr>
      </w:pPr>
      <w:r>
        <w:rPr>
          <w:color w:val="000000"/>
          <w:sz w:val="28"/>
          <w:szCs w:val="28"/>
        </w:rPr>
        <w:t>В таблице 6-6 представлены инвестиционные мероприятия настоящей Программы в системе обращения твердых коммунальных отходов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6-6. Распределение мероприятий в системе обращения твердых коммунальных отходов </w:t>
      </w:r>
    </w:p>
    <w:tbl>
      <w:tblPr>
        <w:tblStyle w:val="100"/>
        <w:tblW w:w="896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940"/>
        <w:gridCol w:w="939"/>
        <w:gridCol w:w="939"/>
        <w:gridCol w:w="939"/>
        <w:gridCol w:w="939"/>
        <w:gridCol w:w="93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580"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3" w:type="dxa"/>
            <w:vMerge w:val="continue"/>
            <w:vAlign w:val="center"/>
          </w:tcPr>
          <w:p>
            <w:pPr>
              <w:spacing w:before="20" w:after="20"/>
              <w:ind w:left="-57" w:right="-57"/>
              <w:rPr>
                <w:b/>
                <w:bCs/>
                <w:color w:val="000000"/>
                <w:sz w:val="20"/>
                <w:szCs w:val="20"/>
              </w:rPr>
            </w:pPr>
          </w:p>
        </w:tc>
        <w:tc>
          <w:tcPr>
            <w:tcW w:w="940"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39"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45"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10362</w:t>
            </w:r>
          </w:p>
        </w:tc>
        <w:tc>
          <w:tcPr>
            <w:tcW w:w="939" w:type="dxa"/>
            <w:shd w:val="clear" w:color="auto" w:fill="auto"/>
            <w:vAlign w:val="center"/>
          </w:tcPr>
          <w:p>
            <w:pPr>
              <w:jc w:val="center"/>
              <w:rPr>
                <w:b/>
                <w:bCs/>
                <w:sz w:val="20"/>
                <w:szCs w:val="20"/>
              </w:rPr>
            </w:pPr>
            <w:r>
              <w:rPr>
                <w:b/>
                <w:bCs/>
                <w:sz w:val="20"/>
                <w:szCs w:val="20"/>
              </w:rPr>
              <w:t>16543</w:t>
            </w:r>
          </w:p>
        </w:tc>
        <w:tc>
          <w:tcPr>
            <w:tcW w:w="939" w:type="dxa"/>
            <w:shd w:val="clear" w:color="auto" w:fill="auto"/>
            <w:vAlign w:val="center"/>
          </w:tcPr>
          <w:p>
            <w:pPr>
              <w:jc w:val="center"/>
              <w:rPr>
                <w:b/>
                <w:bCs/>
                <w:sz w:val="20"/>
                <w:szCs w:val="20"/>
              </w:rPr>
            </w:pPr>
            <w:r>
              <w:rPr>
                <w:b/>
                <w:bCs/>
                <w:sz w:val="20"/>
                <w:szCs w:val="20"/>
              </w:rPr>
              <w:t>10970</w:t>
            </w:r>
          </w:p>
        </w:tc>
        <w:tc>
          <w:tcPr>
            <w:tcW w:w="939" w:type="dxa"/>
            <w:shd w:val="clear" w:color="auto" w:fill="auto"/>
            <w:vAlign w:val="center"/>
          </w:tcPr>
          <w:p>
            <w:pPr>
              <w:jc w:val="center"/>
              <w:rPr>
                <w:b/>
                <w:bCs/>
                <w:sz w:val="20"/>
                <w:szCs w:val="20"/>
                <w:lang w:val="en-US"/>
              </w:rPr>
            </w:pPr>
            <w:r>
              <w:rPr>
                <w:b/>
                <w:bCs/>
                <w:sz w:val="20"/>
                <w:szCs w:val="20"/>
                <w:lang w:val="en-US"/>
              </w:rPr>
              <w:t>10158</w:t>
            </w:r>
          </w:p>
        </w:tc>
        <w:tc>
          <w:tcPr>
            <w:tcW w:w="945" w:type="dxa"/>
            <w:vAlign w:val="center"/>
          </w:tcPr>
          <w:p>
            <w:pPr>
              <w:jc w:val="center"/>
              <w:rPr>
                <w:b/>
                <w:bCs/>
                <w:sz w:val="20"/>
                <w:szCs w:val="20"/>
                <w:lang w:val="en-US"/>
              </w:rPr>
            </w:pPr>
            <w:r>
              <w:rPr>
                <w:b/>
                <w:bCs/>
                <w:sz w:val="20"/>
                <w:szCs w:val="20"/>
                <w:lang w:val="en-US"/>
              </w:rPr>
              <w:t>12052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940"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bCs/>
                <w:sz w:val="20"/>
                <w:szCs w:val="20"/>
                <w:lang w:val="en-US"/>
              </w:rPr>
            </w:pPr>
            <w:r>
              <w:rPr>
                <w:bCs/>
                <w:sz w:val="20"/>
                <w:szCs w:val="20"/>
                <w:lang w:val="en-US"/>
              </w:rPr>
              <w:t>0</w:t>
            </w:r>
          </w:p>
        </w:tc>
        <w:tc>
          <w:tcPr>
            <w:tcW w:w="945" w:type="dxa"/>
            <w:vAlign w:val="center"/>
          </w:tcPr>
          <w:p>
            <w:pPr>
              <w:jc w:val="center"/>
              <w:rPr>
                <w:bCs/>
                <w:sz w:val="20"/>
                <w:szCs w:val="20"/>
                <w:lang w:val="en-US"/>
              </w:rPr>
            </w:pPr>
            <w:r>
              <w:rPr>
                <w:bCs/>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940"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bCs/>
                <w:sz w:val="20"/>
                <w:szCs w:val="20"/>
                <w:lang w:val="en-US"/>
              </w:rPr>
            </w:pPr>
            <w:r>
              <w:rPr>
                <w:bCs/>
                <w:sz w:val="20"/>
                <w:szCs w:val="20"/>
                <w:lang w:val="en-US"/>
              </w:rPr>
              <w:t>0</w:t>
            </w:r>
          </w:p>
        </w:tc>
        <w:tc>
          <w:tcPr>
            <w:tcW w:w="945" w:type="dxa"/>
            <w:vAlign w:val="center"/>
          </w:tcPr>
          <w:p>
            <w:pPr>
              <w:jc w:val="center"/>
              <w:rPr>
                <w:bCs/>
                <w:sz w:val="20"/>
                <w:szCs w:val="20"/>
                <w:lang w:val="en-US"/>
              </w:rPr>
            </w:pPr>
            <w:r>
              <w:rPr>
                <w:bCs/>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10362</w:t>
            </w:r>
          </w:p>
        </w:tc>
        <w:tc>
          <w:tcPr>
            <w:tcW w:w="939" w:type="dxa"/>
            <w:shd w:val="clear" w:color="auto" w:fill="auto"/>
            <w:vAlign w:val="center"/>
          </w:tcPr>
          <w:p>
            <w:pPr>
              <w:jc w:val="center"/>
              <w:rPr>
                <w:bCs/>
                <w:sz w:val="20"/>
                <w:szCs w:val="20"/>
              </w:rPr>
            </w:pPr>
            <w:r>
              <w:rPr>
                <w:bCs/>
                <w:sz w:val="20"/>
                <w:szCs w:val="20"/>
              </w:rPr>
              <w:t>16543</w:t>
            </w:r>
          </w:p>
        </w:tc>
        <w:tc>
          <w:tcPr>
            <w:tcW w:w="939" w:type="dxa"/>
            <w:shd w:val="clear" w:color="auto" w:fill="auto"/>
            <w:vAlign w:val="center"/>
          </w:tcPr>
          <w:p>
            <w:pPr>
              <w:jc w:val="center"/>
              <w:rPr>
                <w:bCs/>
                <w:sz w:val="20"/>
                <w:szCs w:val="20"/>
              </w:rPr>
            </w:pPr>
            <w:r>
              <w:rPr>
                <w:bCs/>
                <w:sz w:val="20"/>
                <w:szCs w:val="20"/>
              </w:rPr>
              <w:t>10970</w:t>
            </w:r>
          </w:p>
        </w:tc>
        <w:tc>
          <w:tcPr>
            <w:tcW w:w="939" w:type="dxa"/>
            <w:shd w:val="clear" w:color="auto" w:fill="auto"/>
            <w:vAlign w:val="center"/>
          </w:tcPr>
          <w:p>
            <w:pPr>
              <w:jc w:val="center"/>
              <w:rPr>
                <w:bCs/>
                <w:sz w:val="20"/>
                <w:szCs w:val="20"/>
                <w:lang w:val="en-US"/>
              </w:rPr>
            </w:pPr>
            <w:r>
              <w:rPr>
                <w:bCs/>
                <w:sz w:val="20"/>
                <w:szCs w:val="20"/>
                <w:lang w:val="en-US"/>
              </w:rPr>
              <w:t>10158</w:t>
            </w:r>
          </w:p>
        </w:tc>
        <w:tc>
          <w:tcPr>
            <w:tcW w:w="945" w:type="dxa"/>
            <w:vAlign w:val="center"/>
          </w:tcPr>
          <w:p>
            <w:pPr>
              <w:jc w:val="center"/>
              <w:rPr>
                <w:bCs/>
                <w:sz w:val="20"/>
                <w:szCs w:val="20"/>
                <w:lang w:val="en-US"/>
              </w:rPr>
            </w:pPr>
            <w:r>
              <w:rPr>
                <w:bCs/>
                <w:sz w:val="20"/>
                <w:szCs w:val="20"/>
                <w:lang w:val="en-US"/>
              </w:rPr>
              <w:t>12052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940"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sz w:val="20"/>
                <w:szCs w:val="20"/>
                <w:lang w:val="en-US"/>
              </w:rPr>
            </w:pPr>
            <w:r>
              <w:rPr>
                <w:sz w:val="20"/>
                <w:szCs w:val="20"/>
                <w:lang w:val="en-US"/>
              </w:rPr>
              <w:t>0</w:t>
            </w:r>
          </w:p>
        </w:tc>
        <w:tc>
          <w:tcPr>
            <w:tcW w:w="939" w:type="dxa"/>
            <w:shd w:val="clear" w:color="auto" w:fill="auto"/>
            <w:vAlign w:val="center"/>
          </w:tcPr>
          <w:p>
            <w:pPr>
              <w:jc w:val="center"/>
              <w:rPr>
                <w:bCs/>
                <w:sz w:val="20"/>
                <w:szCs w:val="20"/>
                <w:lang w:val="en-US"/>
              </w:rPr>
            </w:pPr>
            <w:r>
              <w:rPr>
                <w:bCs/>
                <w:sz w:val="20"/>
                <w:szCs w:val="20"/>
                <w:lang w:val="en-US"/>
              </w:rPr>
              <w:t>0</w:t>
            </w:r>
          </w:p>
        </w:tc>
        <w:tc>
          <w:tcPr>
            <w:tcW w:w="945" w:type="dxa"/>
            <w:vAlign w:val="center"/>
          </w:tcPr>
          <w:p>
            <w:pPr>
              <w:jc w:val="center"/>
              <w:rPr>
                <w:bCs/>
                <w:sz w:val="20"/>
                <w:szCs w:val="20"/>
                <w:lang w:val="en-US"/>
              </w:rPr>
            </w:pPr>
            <w:r>
              <w:rPr>
                <w:bCs/>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 *</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10362</w:t>
            </w:r>
          </w:p>
        </w:tc>
        <w:tc>
          <w:tcPr>
            <w:tcW w:w="939" w:type="dxa"/>
            <w:shd w:val="clear" w:color="auto" w:fill="auto"/>
            <w:vAlign w:val="center"/>
          </w:tcPr>
          <w:p>
            <w:pPr>
              <w:jc w:val="center"/>
              <w:rPr>
                <w:b/>
                <w:bCs/>
                <w:sz w:val="20"/>
                <w:szCs w:val="20"/>
              </w:rPr>
            </w:pPr>
            <w:r>
              <w:rPr>
                <w:b/>
                <w:bCs/>
                <w:sz w:val="20"/>
                <w:szCs w:val="20"/>
              </w:rPr>
              <w:t>16543</w:t>
            </w:r>
          </w:p>
        </w:tc>
        <w:tc>
          <w:tcPr>
            <w:tcW w:w="939" w:type="dxa"/>
            <w:shd w:val="clear" w:color="auto" w:fill="auto"/>
            <w:vAlign w:val="center"/>
          </w:tcPr>
          <w:p>
            <w:pPr>
              <w:jc w:val="center"/>
              <w:rPr>
                <w:b/>
                <w:bCs/>
                <w:sz w:val="20"/>
                <w:szCs w:val="20"/>
              </w:rPr>
            </w:pPr>
            <w:r>
              <w:rPr>
                <w:b/>
                <w:bCs/>
                <w:sz w:val="20"/>
                <w:szCs w:val="20"/>
              </w:rPr>
              <w:t>10970</w:t>
            </w:r>
          </w:p>
        </w:tc>
        <w:tc>
          <w:tcPr>
            <w:tcW w:w="939" w:type="dxa"/>
            <w:shd w:val="clear" w:color="auto" w:fill="auto"/>
            <w:vAlign w:val="center"/>
          </w:tcPr>
          <w:p>
            <w:pPr>
              <w:jc w:val="center"/>
              <w:rPr>
                <w:b/>
                <w:bCs/>
                <w:sz w:val="20"/>
                <w:szCs w:val="20"/>
                <w:lang w:val="en-US"/>
              </w:rPr>
            </w:pPr>
            <w:r>
              <w:rPr>
                <w:b/>
                <w:bCs/>
                <w:sz w:val="20"/>
                <w:szCs w:val="20"/>
                <w:lang w:val="en-US"/>
              </w:rPr>
              <w:t>10158</w:t>
            </w:r>
          </w:p>
        </w:tc>
        <w:tc>
          <w:tcPr>
            <w:tcW w:w="945" w:type="dxa"/>
            <w:vAlign w:val="center"/>
          </w:tcPr>
          <w:p>
            <w:pPr>
              <w:jc w:val="center"/>
              <w:rPr>
                <w:b/>
                <w:bCs/>
                <w:sz w:val="20"/>
                <w:szCs w:val="20"/>
                <w:lang w:val="en-US"/>
              </w:rPr>
            </w:pPr>
            <w:r>
              <w:rPr>
                <w:b/>
                <w:bCs/>
                <w:sz w:val="20"/>
                <w:szCs w:val="20"/>
                <w:lang w:val="en-US"/>
              </w:rPr>
              <w:t>12052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940"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b/>
                <w:bCs/>
                <w:sz w:val="20"/>
                <w:szCs w:val="20"/>
                <w:lang w:val="en-US"/>
              </w:rPr>
            </w:pPr>
            <w:r>
              <w:rPr>
                <w:b/>
                <w:bCs/>
                <w:sz w:val="20"/>
                <w:szCs w:val="20"/>
                <w:lang w:val="en-US"/>
              </w:rPr>
              <w:t>-</w:t>
            </w:r>
          </w:p>
        </w:tc>
        <w:tc>
          <w:tcPr>
            <w:tcW w:w="945" w:type="dxa"/>
            <w:vAlign w:val="center"/>
          </w:tcPr>
          <w:p>
            <w:pPr>
              <w:jc w:val="center"/>
              <w:rPr>
                <w:b/>
                <w:bCs/>
                <w:sz w:val="20"/>
                <w:szCs w:val="20"/>
                <w:lang w:val="en-US"/>
              </w:rPr>
            </w:pPr>
            <w:r>
              <w:rPr>
                <w:b/>
                <w:bCs/>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940"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b/>
                <w:bCs/>
                <w:sz w:val="20"/>
                <w:szCs w:val="20"/>
                <w:lang w:val="en-US"/>
              </w:rPr>
            </w:pPr>
            <w:r>
              <w:rPr>
                <w:b/>
                <w:bCs/>
                <w:sz w:val="20"/>
                <w:szCs w:val="20"/>
                <w:lang w:val="en-US"/>
              </w:rPr>
              <w:t>-</w:t>
            </w:r>
          </w:p>
        </w:tc>
        <w:tc>
          <w:tcPr>
            <w:tcW w:w="945" w:type="dxa"/>
            <w:vAlign w:val="center"/>
          </w:tcPr>
          <w:p>
            <w:pPr>
              <w:jc w:val="center"/>
              <w:rPr>
                <w:b/>
                <w:bCs/>
                <w:sz w:val="20"/>
                <w:szCs w:val="20"/>
                <w:lang w:val="en-US"/>
              </w:rPr>
            </w:pPr>
            <w:r>
              <w:rPr>
                <w:b/>
                <w:bCs/>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940"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sz w:val="20"/>
                <w:szCs w:val="20"/>
                <w:lang w:val="en-US"/>
              </w:rPr>
            </w:pPr>
            <w:r>
              <w:rPr>
                <w:sz w:val="20"/>
                <w:szCs w:val="20"/>
                <w:lang w:val="en-US"/>
              </w:rPr>
              <w:t>-</w:t>
            </w:r>
          </w:p>
        </w:tc>
        <w:tc>
          <w:tcPr>
            <w:tcW w:w="939" w:type="dxa"/>
            <w:shd w:val="clear" w:color="auto" w:fill="auto"/>
            <w:vAlign w:val="center"/>
          </w:tcPr>
          <w:p>
            <w:pPr>
              <w:jc w:val="center"/>
              <w:rPr>
                <w:b/>
                <w:bCs/>
                <w:sz w:val="20"/>
                <w:szCs w:val="20"/>
                <w:lang w:val="en-US"/>
              </w:rPr>
            </w:pPr>
            <w:r>
              <w:rPr>
                <w:b/>
                <w:bCs/>
                <w:sz w:val="20"/>
                <w:szCs w:val="20"/>
                <w:lang w:val="en-US"/>
              </w:rPr>
              <w:t>-</w:t>
            </w:r>
          </w:p>
        </w:tc>
        <w:tc>
          <w:tcPr>
            <w:tcW w:w="945" w:type="dxa"/>
            <w:vAlign w:val="center"/>
          </w:tcPr>
          <w:p>
            <w:pPr>
              <w:jc w:val="center"/>
              <w:rPr>
                <w:b/>
                <w:bCs/>
                <w:sz w:val="20"/>
                <w:szCs w:val="20"/>
                <w:lang w:val="en-US"/>
              </w:rPr>
            </w:pPr>
            <w:r>
              <w:rPr>
                <w:b/>
                <w:bCs/>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10362</w:t>
            </w:r>
          </w:p>
        </w:tc>
        <w:tc>
          <w:tcPr>
            <w:tcW w:w="939" w:type="dxa"/>
            <w:shd w:val="clear" w:color="auto" w:fill="auto"/>
            <w:vAlign w:val="center"/>
          </w:tcPr>
          <w:p>
            <w:pPr>
              <w:jc w:val="center"/>
              <w:rPr>
                <w:b/>
                <w:bCs/>
                <w:sz w:val="20"/>
                <w:szCs w:val="20"/>
              </w:rPr>
            </w:pPr>
            <w:r>
              <w:rPr>
                <w:b/>
                <w:bCs/>
                <w:sz w:val="20"/>
                <w:szCs w:val="20"/>
              </w:rPr>
              <w:t>16543</w:t>
            </w:r>
          </w:p>
        </w:tc>
        <w:tc>
          <w:tcPr>
            <w:tcW w:w="939" w:type="dxa"/>
            <w:shd w:val="clear" w:color="auto" w:fill="auto"/>
            <w:vAlign w:val="center"/>
          </w:tcPr>
          <w:p>
            <w:pPr>
              <w:jc w:val="center"/>
              <w:rPr>
                <w:b/>
                <w:bCs/>
                <w:sz w:val="20"/>
                <w:szCs w:val="20"/>
              </w:rPr>
            </w:pPr>
            <w:r>
              <w:rPr>
                <w:b/>
                <w:bCs/>
                <w:sz w:val="20"/>
                <w:szCs w:val="20"/>
              </w:rPr>
              <w:t>10970</w:t>
            </w:r>
          </w:p>
        </w:tc>
        <w:tc>
          <w:tcPr>
            <w:tcW w:w="939" w:type="dxa"/>
            <w:shd w:val="clear" w:color="auto" w:fill="auto"/>
            <w:vAlign w:val="center"/>
          </w:tcPr>
          <w:p>
            <w:pPr>
              <w:jc w:val="center"/>
              <w:rPr>
                <w:b/>
                <w:bCs/>
                <w:sz w:val="20"/>
                <w:szCs w:val="20"/>
              </w:rPr>
            </w:pPr>
            <w:r>
              <w:rPr>
                <w:b/>
                <w:bCs/>
                <w:sz w:val="20"/>
                <w:szCs w:val="20"/>
              </w:rPr>
              <w:t>10158</w:t>
            </w:r>
          </w:p>
        </w:tc>
        <w:tc>
          <w:tcPr>
            <w:tcW w:w="945" w:type="dxa"/>
            <w:vAlign w:val="center"/>
          </w:tcPr>
          <w:p>
            <w:pPr>
              <w:jc w:val="center"/>
              <w:rPr>
                <w:b/>
                <w:bCs/>
                <w:sz w:val="20"/>
                <w:szCs w:val="20"/>
              </w:rPr>
            </w:pPr>
            <w:r>
              <w:rPr>
                <w:b/>
                <w:bCs/>
                <w:sz w:val="20"/>
                <w:szCs w:val="20"/>
              </w:rPr>
              <w:t>12052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2300</w:t>
            </w:r>
          </w:p>
        </w:tc>
        <w:tc>
          <w:tcPr>
            <w:tcW w:w="939" w:type="dxa"/>
            <w:shd w:val="clear" w:color="auto" w:fill="auto"/>
            <w:vAlign w:val="center"/>
          </w:tcPr>
          <w:p>
            <w:pPr>
              <w:jc w:val="center"/>
              <w:rPr>
                <w:bCs/>
                <w:sz w:val="20"/>
                <w:szCs w:val="20"/>
              </w:rPr>
            </w:pPr>
            <w:r>
              <w:rPr>
                <w:bCs/>
                <w:sz w:val="20"/>
                <w:szCs w:val="20"/>
              </w:rPr>
              <w:t>8182</w:t>
            </w:r>
          </w:p>
        </w:tc>
        <w:tc>
          <w:tcPr>
            <w:tcW w:w="939" w:type="dxa"/>
            <w:shd w:val="clear" w:color="auto" w:fill="auto"/>
            <w:vAlign w:val="center"/>
          </w:tcPr>
          <w:p>
            <w:pPr>
              <w:jc w:val="center"/>
              <w:rPr>
                <w:bCs/>
                <w:sz w:val="20"/>
                <w:szCs w:val="20"/>
              </w:rPr>
            </w:pPr>
            <w:r>
              <w:rPr>
                <w:bCs/>
                <w:sz w:val="20"/>
                <w:szCs w:val="20"/>
              </w:rPr>
              <w:t>2300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8062</w:t>
            </w:r>
          </w:p>
        </w:tc>
        <w:tc>
          <w:tcPr>
            <w:tcW w:w="939" w:type="dxa"/>
            <w:shd w:val="clear" w:color="auto" w:fill="auto"/>
            <w:vAlign w:val="center"/>
          </w:tcPr>
          <w:p>
            <w:pPr>
              <w:jc w:val="center"/>
              <w:rPr>
                <w:bCs/>
                <w:sz w:val="20"/>
                <w:szCs w:val="20"/>
              </w:rPr>
            </w:pPr>
            <w:r>
              <w:rPr>
                <w:bCs/>
                <w:sz w:val="20"/>
                <w:szCs w:val="20"/>
              </w:rPr>
              <w:t>8361</w:t>
            </w:r>
          </w:p>
        </w:tc>
        <w:tc>
          <w:tcPr>
            <w:tcW w:w="939" w:type="dxa"/>
            <w:shd w:val="clear" w:color="auto" w:fill="auto"/>
            <w:vAlign w:val="center"/>
          </w:tcPr>
          <w:p>
            <w:pPr>
              <w:jc w:val="center"/>
              <w:rPr>
                <w:bCs/>
                <w:sz w:val="20"/>
                <w:szCs w:val="20"/>
              </w:rPr>
            </w:pPr>
            <w:r>
              <w:rPr>
                <w:bCs/>
                <w:sz w:val="20"/>
                <w:szCs w:val="20"/>
              </w:rPr>
              <w:t>8670</w:t>
            </w:r>
          </w:p>
        </w:tc>
        <w:tc>
          <w:tcPr>
            <w:tcW w:w="939" w:type="dxa"/>
            <w:shd w:val="clear" w:color="auto" w:fill="auto"/>
            <w:vAlign w:val="center"/>
          </w:tcPr>
          <w:p>
            <w:pPr>
              <w:jc w:val="center"/>
              <w:rPr>
                <w:bCs/>
                <w:sz w:val="20"/>
                <w:szCs w:val="20"/>
              </w:rPr>
            </w:pPr>
            <w:r>
              <w:rPr>
                <w:bCs/>
                <w:sz w:val="20"/>
                <w:szCs w:val="20"/>
              </w:rPr>
              <w:t>10158</w:t>
            </w:r>
          </w:p>
        </w:tc>
        <w:tc>
          <w:tcPr>
            <w:tcW w:w="945" w:type="dxa"/>
            <w:vAlign w:val="center"/>
          </w:tcPr>
          <w:p>
            <w:pPr>
              <w:jc w:val="center"/>
              <w:rPr>
                <w:bCs/>
                <w:sz w:val="20"/>
                <w:szCs w:val="20"/>
              </w:rPr>
            </w:pPr>
            <w:r>
              <w:rPr>
                <w:bCs/>
                <w:sz w:val="20"/>
                <w:szCs w:val="20"/>
              </w:rPr>
              <w:t>12052</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Наружное освещение</w:t>
      </w:r>
    </w:p>
    <w:p>
      <w:pPr>
        <w:spacing w:line="360" w:lineRule="auto"/>
        <w:ind w:firstLine="567"/>
        <w:jc w:val="both"/>
        <w:rPr>
          <w:color w:val="000000"/>
          <w:sz w:val="28"/>
          <w:szCs w:val="28"/>
        </w:rPr>
      </w:pPr>
      <w:r>
        <w:rPr>
          <w:color w:val="000000"/>
          <w:sz w:val="28"/>
          <w:szCs w:val="28"/>
        </w:rPr>
        <w:t>В таблице 6-7 представлены инвестиционные мероприятия настоящей Программы в системе наружного освещения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6-7. Распределение мероприятий в системе наружного освещения </w:t>
      </w:r>
    </w:p>
    <w:tbl>
      <w:tblPr>
        <w:tblStyle w:val="100"/>
        <w:tblW w:w="896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940"/>
        <w:gridCol w:w="939"/>
        <w:gridCol w:w="939"/>
        <w:gridCol w:w="939"/>
        <w:gridCol w:w="939"/>
        <w:gridCol w:w="93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580"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3" w:type="dxa"/>
            <w:vMerge w:val="continue"/>
            <w:vAlign w:val="center"/>
          </w:tcPr>
          <w:p>
            <w:pPr>
              <w:spacing w:before="20" w:after="20"/>
              <w:ind w:left="-57" w:right="-57"/>
              <w:rPr>
                <w:b/>
                <w:bCs/>
                <w:color w:val="000000"/>
                <w:sz w:val="20"/>
                <w:szCs w:val="20"/>
              </w:rPr>
            </w:pPr>
          </w:p>
        </w:tc>
        <w:tc>
          <w:tcPr>
            <w:tcW w:w="940"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39"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45"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725</w:t>
            </w:r>
          </w:p>
        </w:tc>
        <w:tc>
          <w:tcPr>
            <w:tcW w:w="939" w:type="dxa"/>
            <w:shd w:val="clear" w:color="auto" w:fill="auto"/>
            <w:vAlign w:val="center"/>
          </w:tcPr>
          <w:p>
            <w:pPr>
              <w:jc w:val="center"/>
              <w:rPr>
                <w:b/>
                <w:bCs/>
                <w:sz w:val="20"/>
                <w:szCs w:val="20"/>
              </w:rPr>
            </w:pPr>
            <w:r>
              <w:rPr>
                <w:b/>
                <w:bCs/>
                <w:sz w:val="20"/>
                <w:szCs w:val="20"/>
              </w:rPr>
              <w:t>776</w:t>
            </w:r>
          </w:p>
        </w:tc>
        <w:tc>
          <w:tcPr>
            <w:tcW w:w="939" w:type="dxa"/>
            <w:shd w:val="clear" w:color="auto" w:fill="auto"/>
            <w:vAlign w:val="center"/>
          </w:tcPr>
          <w:p>
            <w:pPr>
              <w:jc w:val="center"/>
              <w:rPr>
                <w:b/>
                <w:bCs/>
                <w:sz w:val="20"/>
                <w:szCs w:val="20"/>
              </w:rPr>
            </w:pPr>
            <w:r>
              <w:rPr>
                <w:b/>
                <w:bCs/>
                <w:sz w:val="20"/>
                <w:szCs w:val="20"/>
              </w:rPr>
              <w:t>830</w:t>
            </w:r>
          </w:p>
        </w:tc>
        <w:tc>
          <w:tcPr>
            <w:tcW w:w="939" w:type="dxa"/>
            <w:shd w:val="clear" w:color="auto" w:fill="auto"/>
            <w:vAlign w:val="center"/>
          </w:tcPr>
          <w:p>
            <w:pPr>
              <w:jc w:val="center"/>
              <w:rPr>
                <w:b/>
                <w:bCs/>
                <w:sz w:val="20"/>
                <w:szCs w:val="20"/>
              </w:rPr>
            </w:pPr>
            <w:r>
              <w:rPr>
                <w:b/>
                <w:bCs/>
                <w:sz w:val="20"/>
                <w:szCs w:val="20"/>
              </w:rPr>
              <w:t>888</w:t>
            </w:r>
          </w:p>
        </w:tc>
        <w:tc>
          <w:tcPr>
            <w:tcW w:w="939" w:type="dxa"/>
            <w:shd w:val="clear" w:color="auto" w:fill="auto"/>
            <w:vAlign w:val="center"/>
          </w:tcPr>
          <w:p>
            <w:pPr>
              <w:jc w:val="center"/>
              <w:rPr>
                <w:b/>
                <w:bCs/>
                <w:sz w:val="20"/>
                <w:szCs w:val="20"/>
              </w:rPr>
            </w:pPr>
            <w:r>
              <w:rPr>
                <w:b/>
                <w:bCs/>
                <w:sz w:val="20"/>
                <w:szCs w:val="20"/>
              </w:rPr>
              <w:t>1164</w:t>
            </w:r>
          </w:p>
        </w:tc>
        <w:tc>
          <w:tcPr>
            <w:tcW w:w="945" w:type="dxa"/>
            <w:vAlign w:val="center"/>
          </w:tcPr>
          <w:p>
            <w:pPr>
              <w:jc w:val="center"/>
              <w:rPr>
                <w:b/>
                <w:bCs/>
                <w:sz w:val="20"/>
                <w:szCs w:val="20"/>
              </w:rPr>
            </w:pPr>
            <w:r>
              <w:rPr>
                <w:b/>
                <w:bCs/>
                <w:sz w:val="20"/>
                <w:szCs w:val="20"/>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725</w:t>
            </w:r>
          </w:p>
        </w:tc>
        <w:tc>
          <w:tcPr>
            <w:tcW w:w="939" w:type="dxa"/>
            <w:shd w:val="clear" w:color="auto" w:fill="auto"/>
            <w:vAlign w:val="center"/>
          </w:tcPr>
          <w:p>
            <w:pPr>
              <w:jc w:val="center"/>
              <w:rPr>
                <w:bCs/>
                <w:sz w:val="20"/>
                <w:szCs w:val="20"/>
              </w:rPr>
            </w:pPr>
            <w:r>
              <w:rPr>
                <w:bCs/>
                <w:sz w:val="20"/>
                <w:szCs w:val="20"/>
              </w:rPr>
              <w:t>776</w:t>
            </w:r>
          </w:p>
        </w:tc>
        <w:tc>
          <w:tcPr>
            <w:tcW w:w="939" w:type="dxa"/>
            <w:shd w:val="clear" w:color="auto" w:fill="auto"/>
            <w:vAlign w:val="center"/>
          </w:tcPr>
          <w:p>
            <w:pPr>
              <w:jc w:val="center"/>
              <w:rPr>
                <w:bCs/>
                <w:sz w:val="20"/>
                <w:szCs w:val="20"/>
              </w:rPr>
            </w:pPr>
            <w:r>
              <w:rPr>
                <w:bCs/>
                <w:sz w:val="20"/>
                <w:szCs w:val="20"/>
              </w:rPr>
              <w:t>830</w:t>
            </w:r>
          </w:p>
        </w:tc>
        <w:tc>
          <w:tcPr>
            <w:tcW w:w="939" w:type="dxa"/>
            <w:shd w:val="clear" w:color="auto" w:fill="auto"/>
            <w:vAlign w:val="center"/>
          </w:tcPr>
          <w:p>
            <w:pPr>
              <w:jc w:val="center"/>
              <w:rPr>
                <w:bCs/>
                <w:sz w:val="20"/>
                <w:szCs w:val="20"/>
              </w:rPr>
            </w:pPr>
            <w:r>
              <w:rPr>
                <w:bCs/>
                <w:sz w:val="20"/>
                <w:szCs w:val="20"/>
              </w:rPr>
              <w:t>888</w:t>
            </w:r>
          </w:p>
        </w:tc>
        <w:tc>
          <w:tcPr>
            <w:tcW w:w="939" w:type="dxa"/>
            <w:shd w:val="clear" w:color="auto" w:fill="auto"/>
            <w:vAlign w:val="center"/>
          </w:tcPr>
          <w:p>
            <w:pPr>
              <w:jc w:val="center"/>
              <w:rPr>
                <w:bCs/>
                <w:sz w:val="20"/>
                <w:szCs w:val="20"/>
              </w:rPr>
            </w:pPr>
            <w:r>
              <w:rPr>
                <w:bCs/>
                <w:sz w:val="20"/>
                <w:szCs w:val="20"/>
              </w:rPr>
              <w:t>1164</w:t>
            </w:r>
          </w:p>
        </w:tc>
        <w:tc>
          <w:tcPr>
            <w:tcW w:w="945" w:type="dxa"/>
            <w:vAlign w:val="center"/>
          </w:tcPr>
          <w:p>
            <w:pPr>
              <w:jc w:val="center"/>
              <w:rPr>
                <w:bCs/>
                <w:sz w:val="20"/>
                <w:szCs w:val="20"/>
              </w:rPr>
            </w:pPr>
            <w:r>
              <w:rPr>
                <w:bCs/>
                <w:sz w:val="20"/>
                <w:szCs w:val="20"/>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725</w:t>
            </w:r>
          </w:p>
        </w:tc>
        <w:tc>
          <w:tcPr>
            <w:tcW w:w="939" w:type="dxa"/>
            <w:shd w:val="clear" w:color="auto" w:fill="auto"/>
            <w:vAlign w:val="center"/>
          </w:tcPr>
          <w:p>
            <w:pPr>
              <w:jc w:val="center"/>
              <w:rPr>
                <w:bCs/>
                <w:sz w:val="20"/>
                <w:szCs w:val="20"/>
              </w:rPr>
            </w:pPr>
            <w:r>
              <w:rPr>
                <w:bCs/>
                <w:sz w:val="20"/>
                <w:szCs w:val="20"/>
              </w:rPr>
              <w:t>776</w:t>
            </w:r>
          </w:p>
        </w:tc>
        <w:tc>
          <w:tcPr>
            <w:tcW w:w="939" w:type="dxa"/>
            <w:shd w:val="clear" w:color="auto" w:fill="auto"/>
            <w:vAlign w:val="center"/>
          </w:tcPr>
          <w:p>
            <w:pPr>
              <w:jc w:val="center"/>
              <w:rPr>
                <w:bCs/>
                <w:sz w:val="20"/>
                <w:szCs w:val="20"/>
              </w:rPr>
            </w:pPr>
            <w:r>
              <w:rPr>
                <w:bCs/>
                <w:sz w:val="20"/>
                <w:szCs w:val="20"/>
              </w:rPr>
              <w:t>830</w:t>
            </w:r>
          </w:p>
        </w:tc>
        <w:tc>
          <w:tcPr>
            <w:tcW w:w="939" w:type="dxa"/>
            <w:shd w:val="clear" w:color="auto" w:fill="auto"/>
            <w:vAlign w:val="center"/>
          </w:tcPr>
          <w:p>
            <w:pPr>
              <w:jc w:val="center"/>
              <w:rPr>
                <w:bCs/>
                <w:sz w:val="20"/>
                <w:szCs w:val="20"/>
              </w:rPr>
            </w:pPr>
            <w:r>
              <w:rPr>
                <w:bCs/>
                <w:sz w:val="20"/>
                <w:szCs w:val="20"/>
              </w:rPr>
              <w:t>888</w:t>
            </w:r>
          </w:p>
        </w:tc>
        <w:tc>
          <w:tcPr>
            <w:tcW w:w="939" w:type="dxa"/>
            <w:shd w:val="clear" w:color="auto" w:fill="auto"/>
            <w:vAlign w:val="center"/>
          </w:tcPr>
          <w:p>
            <w:pPr>
              <w:jc w:val="center"/>
              <w:rPr>
                <w:bCs/>
                <w:sz w:val="20"/>
                <w:szCs w:val="20"/>
              </w:rPr>
            </w:pPr>
            <w:r>
              <w:rPr>
                <w:bCs/>
                <w:sz w:val="20"/>
                <w:szCs w:val="20"/>
              </w:rPr>
              <w:t>1164</w:t>
            </w:r>
          </w:p>
        </w:tc>
        <w:tc>
          <w:tcPr>
            <w:tcW w:w="945" w:type="dxa"/>
            <w:vAlign w:val="center"/>
          </w:tcPr>
          <w:p>
            <w:pPr>
              <w:jc w:val="center"/>
              <w:rPr>
                <w:bCs/>
                <w:sz w:val="20"/>
                <w:szCs w:val="20"/>
              </w:rPr>
            </w:pPr>
            <w:r>
              <w:rPr>
                <w:bCs/>
                <w:sz w:val="20"/>
                <w:szCs w:val="20"/>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374</w:t>
            </w:r>
          </w:p>
        </w:tc>
        <w:tc>
          <w:tcPr>
            <w:tcW w:w="939" w:type="dxa"/>
            <w:shd w:val="clear" w:color="auto" w:fill="auto"/>
            <w:vAlign w:val="center"/>
          </w:tcPr>
          <w:p>
            <w:pPr>
              <w:jc w:val="center"/>
              <w:rPr>
                <w:bCs/>
                <w:sz w:val="20"/>
                <w:szCs w:val="20"/>
              </w:rPr>
            </w:pPr>
            <w:r>
              <w:rPr>
                <w:bCs/>
                <w:sz w:val="20"/>
                <w:szCs w:val="20"/>
              </w:rPr>
              <w:t>401</w:t>
            </w:r>
          </w:p>
        </w:tc>
        <w:tc>
          <w:tcPr>
            <w:tcW w:w="939" w:type="dxa"/>
            <w:shd w:val="clear" w:color="auto" w:fill="auto"/>
            <w:vAlign w:val="center"/>
          </w:tcPr>
          <w:p>
            <w:pPr>
              <w:jc w:val="center"/>
              <w:rPr>
                <w:bCs/>
                <w:sz w:val="20"/>
                <w:szCs w:val="20"/>
              </w:rPr>
            </w:pPr>
            <w:r>
              <w:rPr>
                <w:bCs/>
                <w:sz w:val="20"/>
                <w:szCs w:val="20"/>
              </w:rPr>
              <w:t>429</w:t>
            </w:r>
          </w:p>
        </w:tc>
        <w:tc>
          <w:tcPr>
            <w:tcW w:w="939" w:type="dxa"/>
            <w:shd w:val="clear" w:color="auto" w:fill="auto"/>
            <w:vAlign w:val="center"/>
          </w:tcPr>
          <w:p>
            <w:pPr>
              <w:jc w:val="center"/>
              <w:rPr>
                <w:bCs/>
                <w:sz w:val="20"/>
                <w:szCs w:val="20"/>
              </w:rPr>
            </w:pPr>
            <w:r>
              <w:rPr>
                <w:bCs/>
                <w:sz w:val="20"/>
                <w:szCs w:val="20"/>
              </w:rPr>
              <w:t>459</w:t>
            </w:r>
          </w:p>
        </w:tc>
        <w:tc>
          <w:tcPr>
            <w:tcW w:w="939" w:type="dxa"/>
            <w:shd w:val="clear" w:color="auto" w:fill="auto"/>
            <w:vAlign w:val="center"/>
          </w:tcPr>
          <w:p>
            <w:pPr>
              <w:jc w:val="center"/>
              <w:rPr>
                <w:bCs/>
                <w:sz w:val="20"/>
                <w:szCs w:val="20"/>
              </w:rPr>
            </w:pPr>
            <w:r>
              <w:rPr>
                <w:bCs/>
                <w:sz w:val="20"/>
                <w:szCs w:val="20"/>
              </w:rPr>
              <w:t>601</w:t>
            </w:r>
          </w:p>
        </w:tc>
        <w:tc>
          <w:tcPr>
            <w:tcW w:w="945" w:type="dxa"/>
            <w:vAlign w:val="center"/>
          </w:tcPr>
          <w:p>
            <w:pPr>
              <w:jc w:val="center"/>
              <w:rPr>
                <w:bCs/>
                <w:sz w:val="20"/>
                <w:szCs w:val="20"/>
              </w:rPr>
            </w:pPr>
            <w:r>
              <w:rPr>
                <w:bCs/>
                <w:sz w:val="20"/>
                <w:szCs w:val="20"/>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351</w:t>
            </w:r>
          </w:p>
        </w:tc>
        <w:tc>
          <w:tcPr>
            <w:tcW w:w="939" w:type="dxa"/>
            <w:shd w:val="clear" w:color="auto" w:fill="auto"/>
            <w:vAlign w:val="center"/>
          </w:tcPr>
          <w:p>
            <w:pPr>
              <w:jc w:val="center"/>
              <w:rPr>
                <w:bCs/>
                <w:sz w:val="20"/>
                <w:szCs w:val="20"/>
              </w:rPr>
            </w:pPr>
            <w:r>
              <w:rPr>
                <w:bCs/>
                <w:sz w:val="20"/>
                <w:szCs w:val="20"/>
              </w:rPr>
              <w:t>375</w:t>
            </w:r>
          </w:p>
        </w:tc>
        <w:tc>
          <w:tcPr>
            <w:tcW w:w="939" w:type="dxa"/>
            <w:shd w:val="clear" w:color="auto" w:fill="auto"/>
            <w:vAlign w:val="center"/>
          </w:tcPr>
          <w:p>
            <w:pPr>
              <w:jc w:val="center"/>
              <w:rPr>
                <w:bCs/>
                <w:sz w:val="20"/>
                <w:szCs w:val="20"/>
              </w:rPr>
            </w:pPr>
            <w:r>
              <w:rPr>
                <w:bCs/>
                <w:sz w:val="20"/>
                <w:szCs w:val="20"/>
              </w:rPr>
              <w:t>401</w:t>
            </w:r>
          </w:p>
        </w:tc>
        <w:tc>
          <w:tcPr>
            <w:tcW w:w="939" w:type="dxa"/>
            <w:shd w:val="clear" w:color="auto" w:fill="auto"/>
            <w:vAlign w:val="center"/>
          </w:tcPr>
          <w:p>
            <w:pPr>
              <w:jc w:val="center"/>
              <w:rPr>
                <w:bCs/>
                <w:sz w:val="20"/>
                <w:szCs w:val="20"/>
              </w:rPr>
            </w:pPr>
            <w:r>
              <w:rPr>
                <w:bCs/>
                <w:sz w:val="20"/>
                <w:szCs w:val="20"/>
              </w:rPr>
              <w:t>430</w:t>
            </w:r>
          </w:p>
        </w:tc>
        <w:tc>
          <w:tcPr>
            <w:tcW w:w="939" w:type="dxa"/>
            <w:shd w:val="clear" w:color="auto" w:fill="auto"/>
            <w:vAlign w:val="center"/>
          </w:tcPr>
          <w:p>
            <w:pPr>
              <w:jc w:val="center"/>
              <w:rPr>
                <w:bCs/>
                <w:sz w:val="20"/>
                <w:szCs w:val="20"/>
              </w:rPr>
            </w:pPr>
            <w:r>
              <w:rPr>
                <w:bCs/>
                <w:sz w:val="20"/>
                <w:szCs w:val="20"/>
              </w:rPr>
              <w:t>563</w:t>
            </w:r>
          </w:p>
        </w:tc>
        <w:tc>
          <w:tcPr>
            <w:tcW w:w="945" w:type="dxa"/>
            <w:vAlign w:val="center"/>
          </w:tcPr>
          <w:p>
            <w:pPr>
              <w:jc w:val="center"/>
              <w:rPr>
                <w:bCs/>
                <w:sz w:val="20"/>
                <w:szCs w:val="20"/>
              </w:rPr>
            </w:pPr>
            <w:r>
              <w:rPr>
                <w:bCs/>
                <w:sz w:val="20"/>
                <w:szCs w:val="20"/>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725</w:t>
            </w:r>
          </w:p>
        </w:tc>
        <w:tc>
          <w:tcPr>
            <w:tcW w:w="939" w:type="dxa"/>
            <w:shd w:val="clear" w:color="auto" w:fill="auto"/>
            <w:vAlign w:val="center"/>
          </w:tcPr>
          <w:p>
            <w:pPr>
              <w:jc w:val="center"/>
              <w:rPr>
                <w:bCs/>
                <w:sz w:val="20"/>
                <w:szCs w:val="20"/>
              </w:rPr>
            </w:pPr>
            <w:r>
              <w:rPr>
                <w:bCs/>
                <w:sz w:val="20"/>
                <w:szCs w:val="20"/>
              </w:rPr>
              <w:t>776</w:t>
            </w:r>
          </w:p>
        </w:tc>
        <w:tc>
          <w:tcPr>
            <w:tcW w:w="939" w:type="dxa"/>
            <w:shd w:val="clear" w:color="auto" w:fill="auto"/>
            <w:vAlign w:val="center"/>
          </w:tcPr>
          <w:p>
            <w:pPr>
              <w:jc w:val="center"/>
              <w:rPr>
                <w:bCs/>
                <w:sz w:val="20"/>
                <w:szCs w:val="20"/>
              </w:rPr>
            </w:pPr>
            <w:r>
              <w:rPr>
                <w:bCs/>
                <w:sz w:val="20"/>
                <w:szCs w:val="20"/>
              </w:rPr>
              <w:t>830</w:t>
            </w:r>
          </w:p>
        </w:tc>
        <w:tc>
          <w:tcPr>
            <w:tcW w:w="939" w:type="dxa"/>
            <w:shd w:val="clear" w:color="auto" w:fill="auto"/>
            <w:vAlign w:val="center"/>
          </w:tcPr>
          <w:p>
            <w:pPr>
              <w:jc w:val="center"/>
              <w:rPr>
                <w:bCs/>
                <w:sz w:val="20"/>
                <w:szCs w:val="20"/>
              </w:rPr>
            </w:pPr>
            <w:r>
              <w:rPr>
                <w:bCs/>
                <w:sz w:val="20"/>
                <w:szCs w:val="20"/>
              </w:rPr>
              <w:t>888</w:t>
            </w:r>
          </w:p>
        </w:tc>
        <w:tc>
          <w:tcPr>
            <w:tcW w:w="939" w:type="dxa"/>
            <w:shd w:val="clear" w:color="auto" w:fill="auto"/>
            <w:vAlign w:val="center"/>
          </w:tcPr>
          <w:p>
            <w:pPr>
              <w:jc w:val="center"/>
              <w:rPr>
                <w:bCs/>
                <w:sz w:val="20"/>
                <w:szCs w:val="20"/>
              </w:rPr>
            </w:pPr>
            <w:r>
              <w:rPr>
                <w:bCs/>
                <w:sz w:val="20"/>
                <w:szCs w:val="20"/>
              </w:rPr>
              <w:t>1164</w:t>
            </w:r>
          </w:p>
        </w:tc>
        <w:tc>
          <w:tcPr>
            <w:tcW w:w="945" w:type="dxa"/>
            <w:vAlign w:val="center"/>
          </w:tcPr>
          <w:p>
            <w:pPr>
              <w:jc w:val="center"/>
              <w:rPr>
                <w:bCs/>
                <w:sz w:val="20"/>
                <w:szCs w:val="20"/>
              </w:rPr>
            </w:pPr>
            <w:r>
              <w:rPr>
                <w:bCs/>
                <w:sz w:val="20"/>
                <w:szCs w:val="20"/>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725</w:t>
            </w:r>
          </w:p>
        </w:tc>
        <w:tc>
          <w:tcPr>
            <w:tcW w:w="939" w:type="dxa"/>
            <w:shd w:val="clear" w:color="auto" w:fill="auto"/>
            <w:vAlign w:val="center"/>
          </w:tcPr>
          <w:p>
            <w:pPr>
              <w:jc w:val="center"/>
              <w:rPr>
                <w:bCs/>
                <w:sz w:val="20"/>
                <w:szCs w:val="20"/>
              </w:rPr>
            </w:pPr>
            <w:r>
              <w:rPr>
                <w:bCs/>
                <w:sz w:val="20"/>
                <w:szCs w:val="20"/>
              </w:rPr>
              <w:t>776</w:t>
            </w:r>
          </w:p>
        </w:tc>
        <w:tc>
          <w:tcPr>
            <w:tcW w:w="939" w:type="dxa"/>
            <w:shd w:val="clear" w:color="auto" w:fill="auto"/>
            <w:vAlign w:val="center"/>
          </w:tcPr>
          <w:p>
            <w:pPr>
              <w:jc w:val="center"/>
              <w:rPr>
                <w:bCs/>
                <w:sz w:val="20"/>
                <w:szCs w:val="20"/>
              </w:rPr>
            </w:pPr>
            <w:r>
              <w:rPr>
                <w:bCs/>
                <w:sz w:val="20"/>
                <w:szCs w:val="20"/>
              </w:rPr>
              <w:t>830</w:t>
            </w:r>
          </w:p>
        </w:tc>
        <w:tc>
          <w:tcPr>
            <w:tcW w:w="939" w:type="dxa"/>
            <w:shd w:val="clear" w:color="auto" w:fill="auto"/>
            <w:vAlign w:val="center"/>
          </w:tcPr>
          <w:p>
            <w:pPr>
              <w:jc w:val="center"/>
              <w:rPr>
                <w:bCs/>
                <w:sz w:val="20"/>
                <w:szCs w:val="20"/>
              </w:rPr>
            </w:pPr>
            <w:r>
              <w:rPr>
                <w:bCs/>
                <w:sz w:val="20"/>
                <w:szCs w:val="20"/>
              </w:rPr>
              <w:t>888</w:t>
            </w:r>
          </w:p>
        </w:tc>
        <w:tc>
          <w:tcPr>
            <w:tcW w:w="939" w:type="dxa"/>
            <w:shd w:val="clear" w:color="auto" w:fill="auto"/>
            <w:vAlign w:val="center"/>
          </w:tcPr>
          <w:p>
            <w:pPr>
              <w:jc w:val="center"/>
              <w:rPr>
                <w:bCs/>
                <w:sz w:val="20"/>
                <w:szCs w:val="20"/>
              </w:rPr>
            </w:pPr>
            <w:r>
              <w:rPr>
                <w:bCs/>
                <w:sz w:val="20"/>
                <w:szCs w:val="20"/>
              </w:rPr>
              <w:t>1164</w:t>
            </w:r>
          </w:p>
        </w:tc>
        <w:tc>
          <w:tcPr>
            <w:tcW w:w="945" w:type="dxa"/>
            <w:vAlign w:val="center"/>
          </w:tcPr>
          <w:p>
            <w:pPr>
              <w:jc w:val="center"/>
              <w:rPr>
                <w:bCs/>
                <w:sz w:val="20"/>
                <w:szCs w:val="20"/>
              </w:rPr>
            </w:pPr>
            <w:r>
              <w:rPr>
                <w:bCs/>
                <w:sz w:val="20"/>
                <w:szCs w:val="20"/>
              </w:rPr>
              <w:t>1246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45" w:type="dxa"/>
            <w:vAlign w:val="center"/>
          </w:tcPr>
          <w:p>
            <w:pPr>
              <w:jc w:val="center"/>
              <w:rPr>
                <w:bCs/>
                <w:sz w:val="20"/>
                <w:szCs w:val="20"/>
              </w:rPr>
            </w:pPr>
            <w:r>
              <w:rPr>
                <w:bCs/>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Жилые здания</w:t>
      </w:r>
    </w:p>
    <w:p>
      <w:pPr>
        <w:spacing w:line="360" w:lineRule="auto"/>
        <w:ind w:firstLine="567"/>
        <w:jc w:val="both"/>
        <w:rPr>
          <w:color w:val="000000"/>
          <w:sz w:val="28"/>
          <w:szCs w:val="28"/>
        </w:rPr>
      </w:pPr>
      <w:r>
        <w:rPr>
          <w:color w:val="000000"/>
          <w:sz w:val="28"/>
          <w:szCs w:val="28"/>
        </w:rPr>
        <w:t>В таблице 6-8 представлены инвестиционные мероприятия настоящей Программы намеченные к реализации в жилых зданиях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6-8. Распределение мероприятий, намеченных к реализации в жилых зданиях </w:t>
      </w:r>
    </w:p>
    <w:tbl>
      <w:tblPr>
        <w:tblStyle w:val="100"/>
        <w:tblW w:w="89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940"/>
        <w:gridCol w:w="939"/>
        <w:gridCol w:w="939"/>
        <w:gridCol w:w="939"/>
        <w:gridCol w:w="939"/>
        <w:gridCol w:w="93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580"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383" w:type="dxa"/>
            <w:vMerge w:val="continue"/>
            <w:vAlign w:val="center"/>
          </w:tcPr>
          <w:p>
            <w:pPr>
              <w:spacing w:before="20" w:after="20"/>
              <w:ind w:left="-57" w:right="-57"/>
              <w:rPr>
                <w:b/>
                <w:bCs/>
                <w:color w:val="000000"/>
                <w:sz w:val="20"/>
                <w:szCs w:val="20"/>
              </w:rPr>
            </w:pPr>
          </w:p>
        </w:tc>
        <w:tc>
          <w:tcPr>
            <w:tcW w:w="940"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39"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45"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44729</w:t>
            </w:r>
          </w:p>
        </w:tc>
        <w:tc>
          <w:tcPr>
            <w:tcW w:w="939" w:type="dxa"/>
            <w:shd w:val="clear" w:color="auto" w:fill="auto"/>
            <w:vAlign w:val="center"/>
          </w:tcPr>
          <w:p>
            <w:pPr>
              <w:jc w:val="center"/>
              <w:rPr>
                <w:b/>
                <w:bCs/>
                <w:sz w:val="20"/>
                <w:szCs w:val="20"/>
              </w:rPr>
            </w:pPr>
            <w:r>
              <w:rPr>
                <w:b/>
                <w:bCs/>
                <w:sz w:val="20"/>
                <w:szCs w:val="20"/>
              </w:rPr>
              <w:t>91214</w:t>
            </w:r>
          </w:p>
        </w:tc>
        <w:tc>
          <w:tcPr>
            <w:tcW w:w="939" w:type="dxa"/>
            <w:shd w:val="clear" w:color="auto" w:fill="auto"/>
            <w:vAlign w:val="center"/>
          </w:tcPr>
          <w:p>
            <w:pPr>
              <w:jc w:val="center"/>
              <w:rPr>
                <w:b/>
                <w:bCs/>
                <w:sz w:val="20"/>
                <w:szCs w:val="20"/>
              </w:rPr>
            </w:pPr>
            <w:r>
              <w:rPr>
                <w:b/>
                <w:bCs/>
                <w:sz w:val="20"/>
                <w:szCs w:val="20"/>
              </w:rPr>
              <w:t>134551</w:t>
            </w:r>
          </w:p>
        </w:tc>
        <w:tc>
          <w:tcPr>
            <w:tcW w:w="939" w:type="dxa"/>
            <w:shd w:val="clear" w:color="auto" w:fill="auto"/>
            <w:vAlign w:val="center"/>
          </w:tcPr>
          <w:p>
            <w:pPr>
              <w:jc w:val="center"/>
              <w:rPr>
                <w:b/>
                <w:bCs/>
                <w:sz w:val="20"/>
                <w:szCs w:val="20"/>
              </w:rPr>
            </w:pPr>
            <w:r>
              <w:rPr>
                <w:b/>
                <w:bCs/>
                <w:sz w:val="20"/>
                <w:szCs w:val="20"/>
              </w:rPr>
              <w:t>143295</w:t>
            </w:r>
          </w:p>
        </w:tc>
        <w:tc>
          <w:tcPr>
            <w:tcW w:w="939" w:type="dxa"/>
            <w:shd w:val="clear" w:color="auto" w:fill="auto"/>
            <w:vAlign w:val="center"/>
          </w:tcPr>
          <w:p>
            <w:pPr>
              <w:jc w:val="center"/>
              <w:rPr>
                <w:b/>
                <w:bCs/>
                <w:sz w:val="20"/>
                <w:szCs w:val="20"/>
              </w:rPr>
            </w:pPr>
            <w:r>
              <w:rPr>
                <w:b/>
                <w:bCs/>
                <w:sz w:val="20"/>
                <w:szCs w:val="20"/>
              </w:rPr>
              <w:t>188887</w:t>
            </w:r>
          </w:p>
        </w:tc>
        <w:tc>
          <w:tcPr>
            <w:tcW w:w="945" w:type="dxa"/>
            <w:vAlign w:val="center"/>
          </w:tcPr>
          <w:p>
            <w:pPr>
              <w:jc w:val="center"/>
              <w:rPr>
                <w:b/>
                <w:bCs/>
                <w:sz w:val="20"/>
                <w:szCs w:val="20"/>
              </w:rPr>
            </w:pPr>
            <w:r>
              <w:rPr>
                <w:b/>
                <w:bCs/>
                <w:sz w:val="20"/>
                <w:szCs w:val="20"/>
              </w:rPr>
              <w:t>213499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44729</w:t>
            </w:r>
          </w:p>
        </w:tc>
        <w:tc>
          <w:tcPr>
            <w:tcW w:w="939" w:type="dxa"/>
            <w:shd w:val="clear" w:color="auto" w:fill="auto"/>
            <w:vAlign w:val="center"/>
          </w:tcPr>
          <w:p>
            <w:pPr>
              <w:jc w:val="center"/>
              <w:rPr>
                <w:sz w:val="20"/>
                <w:szCs w:val="20"/>
              </w:rPr>
            </w:pPr>
            <w:r>
              <w:rPr>
                <w:sz w:val="20"/>
                <w:szCs w:val="20"/>
              </w:rPr>
              <w:t>91214</w:t>
            </w:r>
          </w:p>
        </w:tc>
        <w:tc>
          <w:tcPr>
            <w:tcW w:w="939" w:type="dxa"/>
            <w:shd w:val="clear" w:color="auto" w:fill="auto"/>
            <w:vAlign w:val="center"/>
          </w:tcPr>
          <w:p>
            <w:pPr>
              <w:jc w:val="center"/>
              <w:rPr>
                <w:sz w:val="20"/>
                <w:szCs w:val="20"/>
              </w:rPr>
            </w:pPr>
            <w:r>
              <w:rPr>
                <w:sz w:val="20"/>
                <w:szCs w:val="20"/>
              </w:rPr>
              <w:t>134551</w:t>
            </w:r>
          </w:p>
        </w:tc>
        <w:tc>
          <w:tcPr>
            <w:tcW w:w="939" w:type="dxa"/>
            <w:shd w:val="clear" w:color="auto" w:fill="auto"/>
            <w:vAlign w:val="center"/>
          </w:tcPr>
          <w:p>
            <w:pPr>
              <w:jc w:val="center"/>
              <w:rPr>
                <w:sz w:val="20"/>
                <w:szCs w:val="20"/>
              </w:rPr>
            </w:pPr>
            <w:r>
              <w:rPr>
                <w:sz w:val="20"/>
                <w:szCs w:val="20"/>
              </w:rPr>
              <w:t>143295</w:t>
            </w:r>
          </w:p>
        </w:tc>
        <w:tc>
          <w:tcPr>
            <w:tcW w:w="939" w:type="dxa"/>
            <w:shd w:val="clear" w:color="auto" w:fill="auto"/>
            <w:vAlign w:val="center"/>
          </w:tcPr>
          <w:p>
            <w:pPr>
              <w:jc w:val="center"/>
              <w:rPr>
                <w:sz w:val="20"/>
                <w:szCs w:val="20"/>
              </w:rPr>
            </w:pPr>
            <w:r>
              <w:rPr>
                <w:sz w:val="20"/>
                <w:szCs w:val="20"/>
              </w:rPr>
              <w:t>188887</w:t>
            </w:r>
          </w:p>
        </w:tc>
        <w:tc>
          <w:tcPr>
            <w:tcW w:w="945" w:type="dxa"/>
            <w:vAlign w:val="center"/>
          </w:tcPr>
          <w:p>
            <w:pPr>
              <w:jc w:val="center"/>
              <w:rPr>
                <w:sz w:val="20"/>
                <w:szCs w:val="20"/>
              </w:rPr>
            </w:pPr>
            <w:r>
              <w:rPr>
                <w:sz w:val="20"/>
                <w:szCs w:val="20"/>
              </w:rPr>
              <w:t>213499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44729</w:t>
            </w:r>
          </w:p>
        </w:tc>
        <w:tc>
          <w:tcPr>
            <w:tcW w:w="939" w:type="dxa"/>
            <w:shd w:val="clear" w:color="auto" w:fill="auto"/>
            <w:vAlign w:val="center"/>
          </w:tcPr>
          <w:p>
            <w:pPr>
              <w:jc w:val="center"/>
              <w:rPr>
                <w:b/>
                <w:bCs/>
                <w:sz w:val="20"/>
                <w:szCs w:val="20"/>
              </w:rPr>
            </w:pPr>
            <w:r>
              <w:rPr>
                <w:b/>
                <w:bCs/>
                <w:sz w:val="20"/>
                <w:szCs w:val="20"/>
              </w:rPr>
              <w:t>91214</w:t>
            </w:r>
          </w:p>
        </w:tc>
        <w:tc>
          <w:tcPr>
            <w:tcW w:w="939" w:type="dxa"/>
            <w:shd w:val="clear" w:color="auto" w:fill="auto"/>
            <w:vAlign w:val="center"/>
          </w:tcPr>
          <w:p>
            <w:pPr>
              <w:jc w:val="center"/>
              <w:rPr>
                <w:b/>
                <w:bCs/>
                <w:sz w:val="20"/>
                <w:szCs w:val="20"/>
              </w:rPr>
            </w:pPr>
            <w:r>
              <w:rPr>
                <w:b/>
                <w:bCs/>
                <w:sz w:val="20"/>
                <w:szCs w:val="20"/>
              </w:rPr>
              <w:t>134551</w:t>
            </w:r>
          </w:p>
        </w:tc>
        <w:tc>
          <w:tcPr>
            <w:tcW w:w="939" w:type="dxa"/>
            <w:shd w:val="clear" w:color="auto" w:fill="auto"/>
            <w:vAlign w:val="center"/>
          </w:tcPr>
          <w:p>
            <w:pPr>
              <w:jc w:val="center"/>
              <w:rPr>
                <w:b/>
                <w:bCs/>
                <w:sz w:val="20"/>
                <w:szCs w:val="20"/>
              </w:rPr>
            </w:pPr>
            <w:r>
              <w:rPr>
                <w:b/>
                <w:bCs/>
                <w:sz w:val="20"/>
                <w:szCs w:val="20"/>
              </w:rPr>
              <w:t>143295</w:t>
            </w:r>
          </w:p>
        </w:tc>
        <w:tc>
          <w:tcPr>
            <w:tcW w:w="939" w:type="dxa"/>
            <w:shd w:val="clear" w:color="auto" w:fill="auto"/>
            <w:vAlign w:val="center"/>
          </w:tcPr>
          <w:p>
            <w:pPr>
              <w:jc w:val="center"/>
              <w:rPr>
                <w:b/>
                <w:bCs/>
                <w:sz w:val="20"/>
                <w:szCs w:val="20"/>
              </w:rPr>
            </w:pPr>
            <w:r>
              <w:rPr>
                <w:b/>
                <w:bCs/>
                <w:sz w:val="20"/>
                <w:szCs w:val="20"/>
              </w:rPr>
              <w:t>188887</w:t>
            </w:r>
          </w:p>
        </w:tc>
        <w:tc>
          <w:tcPr>
            <w:tcW w:w="945" w:type="dxa"/>
            <w:vAlign w:val="center"/>
          </w:tcPr>
          <w:p>
            <w:pPr>
              <w:jc w:val="center"/>
              <w:rPr>
                <w:b/>
                <w:bCs/>
                <w:sz w:val="20"/>
                <w:szCs w:val="20"/>
              </w:rPr>
            </w:pPr>
            <w:r>
              <w:rPr>
                <w:b/>
                <w:bCs/>
                <w:sz w:val="20"/>
                <w:szCs w:val="20"/>
              </w:rPr>
              <w:t>213499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25185</w:t>
            </w:r>
          </w:p>
        </w:tc>
        <w:tc>
          <w:tcPr>
            <w:tcW w:w="939" w:type="dxa"/>
            <w:shd w:val="clear" w:color="auto" w:fill="auto"/>
            <w:vAlign w:val="center"/>
          </w:tcPr>
          <w:p>
            <w:pPr>
              <w:jc w:val="center"/>
              <w:rPr>
                <w:sz w:val="20"/>
                <w:szCs w:val="20"/>
              </w:rPr>
            </w:pPr>
            <w:r>
              <w:rPr>
                <w:sz w:val="20"/>
                <w:szCs w:val="20"/>
              </w:rPr>
              <w:t>38946</w:t>
            </w:r>
          </w:p>
        </w:tc>
        <w:tc>
          <w:tcPr>
            <w:tcW w:w="939" w:type="dxa"/>
            <w:shd w:val="clear" w:color="auto" w:fill="auto"/>
            <w:vAlign w:val="center"/>
          </w:tcPr>
          <w:p>
            <w:pPr>
              <w:jc w:val="center"/>
              <w:rPr>
                <w:sz w:val="20"/>
                <w:szCs w:val="20"/>
              </w:rPr>
            </w:pPr>
            <w:r>
              <w:rPr>
                <w:sz w:val="20"/>
                <w:szCs w:val="20"/>
              </w:rPr>
              <w:t>41619</w:t>
            </w:r>
          </w:p>
        </w:tc>
        <w:tc>
          <w:tcPr>
            <w:tcW w:w="939" w:type="dxa"/>
            <w:shd w:val="clear" w:color="auto" w:fill="auto"/>
            <w:vAlign w:val="center"/>
          </w:tcPr>
          <w:p>
            <w:pPr>
              <w:jc w:val="center"/>
              <w:rPr>
                <w:sz w:val="20"/>
                <w:szCs w:val="20"/>
              </w:rPr>
            </w:pPr>
            <w:r>
              <w:rPr>
                <w:sz w:val="20"/>
                <w:szCs w:val="20"/>
              </w:rPr>
              <w:t>44132</w:t>
            </w:r>
          </w:p>
        </w:tc>
        <w:tc>
          <w:tcPr>
            <w:tcW w:w="939" w:type="dxa"/>
            <w:shd w:val="clear" w:color="auto" w:fill="auto"/>
            <w:vAlign w:val="center"/>
          </w:tcPr>
          <w:p>
            <w:pPr>
              <w:jc w:val="center"/>
              <w:rPr>
                <w:sz w:val="20"/>
                <w:szCs w:val="20"/>
              </w:rPr>
            </w:pPr>
            <w:r>
              <w:rPr>
                <w:sz w:val="20"/>
                <w:szCs w:val="20"/>
              </w:rPr>
              <w:t>58357</w:t>
            </w:r>
          </w:p>
        </w:tc>
        <w:tc>
          <w:tcPr>
            <w:tcW w:w="945" w:type="dxa"/>
            <w:vAlign w:val="center"/>
          </w:tcPr>
          <w:p>
            <w:pPr>
              <w:jc w:val="center"/>
              <w:rPr>
                <w:sz w:val="20"/>
                <w:szCs w:val="20"/>
              </w:rPr>
            </w:pPr>
            <w:r>
              <w:rPr>
                <w:sz w:val="20"/>
                <w:szCs w:val="20"/>
              </w:rPr>
              <w:t>64384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940"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19544</w:t>
            </w:r>
          </w:p>
        </w:tc>
        <w:tc>
          <w:tcPr>
            <w:tcW w:w="939" w:type="dxa"/>
            <w:shd w:val="clear" w:color="auto" w:fill="auto"/>
            <w:vAlign w:val="center"/>
          </w:tcPr>
          <w:p>
            <w:pPr>
              <w:jc w:val="center"/>
              <w:rPr>
                <w:sz w:val="20"/>
                <w:szCs w:val="20"/>
              </w:rPr>
            </w:pPr>
            <w:r>
              <w:rPr>
                <w:sz w:val="20"/>
                <w:szCs w:val="20"/>
              </w:rPr>
              <w:t>52268</w:t>
            </w:r>
          </w:p>
        </w:tc>
        <w:tc>
          <w:tcPr>
            <w:tcW w:w="939" w:type="dxa"/>
            <w:shd w:val="clear" w:color="auto" w:fill="auto"/>
            <w:vAlign w:val="center"/>
          </w:tcPr>
          <w:p>
            <w:pPr>
              <w:jc w:val="center"/>
              <w:rPr>
                <w:sz w:val="20"/>
                <w:szCs w:val="20"/>
              </w:rPr>
            </w:pPr>
            <w:r>
              <w:rPr>
                <w:sz w:val="20"/>
                <w:szCs w:val="20"/>
              </w:rPr>
              <w:t>92932</w:t>
            </w:r>
          </w:p>
        </w:tc>
        <w:tc>
          <w:tcPr>
            <w:tcW w:w="939" w:type="dxa"/>
            <w:shd w:val="clear" w:color="auto" w:fill="auto"/>
            <w:vAlign w:val="center"/>
          </w:tcPr>
          <w:p>
            <w:pPr>
              <w:jc w:val="center"/>
              <w:rPr>
                <w:sz w:val="20"/>
                <w:szCs w:val="20"/>
              </w:rPr>
            </w:pPr>
            <w:r>
              <w:rPr>
                <w:sz w:val="20"/>
                <w:szCs w:val="20"/>
              </w:rPr>
              <w:t>99163</w:t>
            </w:r>
          </w:p>
        </w:tc>
        <w:tc>
          <w:tcPr>
            <w:tcW w:w="939" w:type="dxa"/>
            <w:shd w:val="clear" w:color="auto" w:fill="auto"/>
            <w:vAlign w:val="center"/>
          </w:tcPr>
          <w:p>
            <w:pPr>
              <w:jc w:val="center"/>
              <w:rPr>
                <w:sz w:val="20"/>
                <w:szCs w:val="20"/>
              </w:rPr>
            </w:pPr>
            <w:r>
              <w:rPr>
                <w:sz w:val="20"/>
                <w:szCs w:val="20"/>
              </w:rPr>
              <w:t>130530</w:t>
            </w:r>
          </w:p>
        </w:tc>
        <w:tc>
          <w:tcPr>
            <w:tcW w:w="945" w:type="dxa"/>
            <w:vAlign w:val="center"/>
          </w:tcPr>
          <w:p>
            <w:pPr>
              <w:jc w:val="center"/>
              <w:rPr>
                <w:sz w:val="20"/>
                <w:szCs w:val="20"/>
              </w:rPr>
            </w:pPr>
            <w:r>
              <w:rPr>
                <w:sz w:val="20"/>
                <w:szCs w:val="20"/>
              </w:rPr>
              <w:t>149116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383"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940"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b/>
                <w:bCs/>
                <w:sz w:val="20"/>
                <w:szCs w:val="20"/>
              </w:rPr>
            </w:pPr>
            <w:r>
              <w:rPr>
                <w:b/>
                <w:bCs/>
                <w:sz w:val="20"/>
                <w:szCs w:val="20"/>
              </w:rPr>
              <w:t>44729</w:t>
            </w:r>
          </w:p>
        </w:tc>
        <w:tc>
          <w:tcPr>
            <w:tcW w:w="939" w:type="dxa"/>
            <w:shd w:val="clear" w:color="auto" w:fill="auto"/>
            <w:vAlign w:val="center"/>
          </w:tcPr>
          <w:p>
            <w:pPr>
              <w:jc w:val="center"/>
              <w:rPr>
                <w:b/>
                <w:bCs/>
                <w:sz w:val="20"/>
                <w:szCs w:val="20"/>
              </w:rPr>
            </w:pPr>
            <w:r>
              <w:rPr>
                <w:b/>
                <w:bCs/>
                <w:sz w:val="20"/>
                <w:szCs w:val="20"/>
              </w:rPr>
              <w:t>91214</w:t>
            </w:r>
          </w:p>
        </w:tc>
        <w:tc>
          <w:tcPr>
            <w:tcW w:w="939" w:type="dxa"/>
            <w:shd w:val="clear" w:color="auto" w:fill="auto"/>
            <w:vAlign w:val="center"/>
          </w:tcPr>
          <w:p>
            <w:pPr>
              <w:jc w:val="center"/>
              <w:rPr>
                <w:b/>
                <w:bCs/>
                <w:sz w:val="20"/>
                <w:szCs w:val="20"/>
              </w:rPr>
            </w:pPr>
            <w:r>
              <w:rPr>
                <w:b/>
                <w:bCs/>
                <w:sz w:val="20"/>
                <w:szCs w:val="20"/>
              </w:rPr>
              <w:t>134551</w:t>
            </w:r>
          </w:p>
        </w:tc>
        <w:tc>
          <w:tcPr>
            <w:tcW w:w="939" w:type="dxa"/>
            <w:shd w:val="clear" w:color="auto" w:fill="auto"/>
            <w:vAlign w:val="center"/>
          </w:tcPr>
          <w:p>
            <w:pPr>
              <w:jc w:val="center"/>
              <w:rPr>
                <w:b/>
                <w:bCs/>
                <w:sz w:val="20"/>
                <w:szCs w:val="20"/>
              </w:rPr>
            </w:pPr>
            <w:r>
              <w:rPr>
                <w:b/>
                <w:bCs/>
                <w:sz w:val="20"/>
                <w:szCs w:val="20"/>
              </w:rPr>
              <w:t>143295</w:t>
            </w:r>
          </w:p>
        </w:tc>
        <w:tc>
          <w:tcPr>
            <w:tcW w:w="939" w:type="dxa"/>
            <w:shd w:val="clear" w:color="auto" w:fill="auto"/>
            <w:vAlign w:val="center"/>
          </w:tcPr>
          <w:p>
            <w:pPr>
              <w:jc w:val="center"/>
              <w:rPr>
                <w:b/>
                <w:bCs/>
                <w:sz w:val="20"/>
                <w:szCs w:val="20"/>
              </w:rPr>
            </w:pPr>
            <w:r>
              <w:rPr>
                <w:b/>
                <w:bCs/>
                <w:sz w:val="20"/>
                <w:szCs w:val="20"/>
              </w:rPr>
              <w:t>188887</w:t>
            </w:r>
          </w:p>
        </w:tc>
        <w:tc>
          <w:tcPr>
            <w:tcW w:w="945" w:type="dxa"/>
            <w:vAlign w:val="center"/>
          </w:tcPr>
          <w:p>
            <w:pPr>
              <w:jc w:val="center"/>
              <w:rPr>
                <w:b/>
                <w:bCs/>
                <w:sz w:val="20"/>
                <w:szCs w:val="20"/>
              </w:rPr>
            </w:pPr>
            <w:r>
              <w:rPr>
                <w:b/>
                <w:bCs/>
                <w:sz w:val="20"/>
                <w:szCs w:val="20"/>
              </w:rPr>
              <w:t>213499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83"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940"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5" w:type="dxa"/>
            <w:vAlign w:val="center"/>
          </w:tcPr>
          <w:p>
            <w:pPr>
              <w:jc w:val="center"/>
              <w:rPr>
                <w:sz w:val="20"/>
                <w:szCs w:val="20"/>
              </w:rPr>
            </w:pPr>
            <w:r>
              <w:rPr>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sz w:val="28"/>
          <w:szCs w:val="28"/>
          <w:u w:val="single"/>
        </w:rPr>
      </w:pPr>
      <w:r>
        <w:rPr>
          <w:sz w:val="28"/>
          <w:szCs w:val="28"/>
          <w:u w:val="single"/>
        </w:rPr>
        <w:t>Общественные здания</w:t>
      </w:r>
    </w:p>
    <w:p>
      <w:pPr>
        <w:spacing w:line="360" w:lineRule="auto"/>
        <w:ind w:firstLine="567"/>
        <w:jc w:val="both"/>
        <w:rPr>
          <w:color w:val="000000"/>
          <w:sz w:val="28"/>
          <w:szCs w:val="28"/>
        </w:rPr>
      </w:pPr>
      <w:r>
        <w:rPr>
          <w:color w:val="000000"/>
          <w:sz w:val="28"/>
          <w:szCs w:val="28"/>
        </w:rPr>
        <w:t>В таблице 6-9 представлены инвестиционные мероприятия настоящей Программы намеченные к реализации в общественных зданиях территориального управления Одинцово.</w:t>
      </w: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6-9. Распределение мероприятий, намеченных к реализации в общественных зданиях </w:t>
      </w:r>
    </w:p>
    <w:tbl>
      <w:tblPr>
        <w:tblStyle w:val="100"/>
        <w:tblW w:w="896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7"/>
        <w:gridCol w:w="555"/>
        <w:gridCol w:w="939"/>
        <w:gridCol w:w="939"/>
        <w:gridCol w:w="939"/>
        <w:gridCol w:w="939"/>
        <w:gridCol w:w="939"/>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vMerge w:val="restart"/>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6196" w:type="dxa"/>
            <w:gridSpan w:val="7"/>
            <w:shd w:val="clear" w:color="auto" w:fill="auto"/>
            <w:vAlign w:val="center"/>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767" w:type="dxa"/>
            <w:vMerge w:val="continue"/>
            <w:vAlign w:val="center"/>
          </w:tcPr>
          <w:p>
            <w:pPr>
              <w:spacing w:before="20" w:after="20"/>
              <w:ind w:left="-57" w:right="-57"/>
              <w:rPr>
                <w:b/>
                <w:bCs/>
                <w:color w:val="000000"/>
                <w:sz w:val="20"/>
                <w:szCs w:val="20"/>
              </w:rPr>
            </w:pPr>
          </w:p>
        </w:tc>
        <w:tc>
          <w:tcPr>
            <w:tcW w:w="555" w:type="dxa"/>
            <w:shd w:val="clear" w:color="auto" w:fill="auto"/>
            <w:vAlign w:val="center"/>
          </w:tcPr>
          <w:p>
            <w:pPr>
              <w:spacing w:before="20" w:after="20"/>
              <w:ind w:left="-57" w:right="-57"/>
              <w:jc w:val="center"/>
              <w:rPr>
                <w:b/>
                <w:bCs/>
                <w:color w:val="000000"/>
                <w:sz w:val="20"/>
                <w:szCs w:val="20"/>
              </w:rPr>
            </w:pPr>
            <w:r>
              <w:rPr>
                <w:b/>
                <w:bCs/>
                <w:color w:val="000000"/>
                <w:sz w:val="20"/>
                <w:szCs w:val="20"/>
              </w:rPr>
              <w:t>2019</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2020</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2021</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2022</w:t>
            </w:r>
          </w:p>
        </w:tc>
        <w:tc>
          <w:tcPr>
            <w:tcW w:w="939" w:type="dxa"/>
            <w:shd w:val="clear" w:color="auto" w:fill="auto"/>
            <w:vAlign w:val="center"/>
          </w:tcPr>
          <w:p>
            <w:pPr>
              <w:spacing w:before="20" w:after="20"/>
              <w:ind w:left="-57" w:right="-57"/>
              <w:jc w:val="center"/>
              <w:rPr>
                <w:b/>
                <w:bCs/>
                <w:color w:val="000000"/>
                <w:sz w:val="20"/>
                <w:szCs w:val="20"/>
              </w:rPr>
            </w:pPr>
            <w:r>
              <w:rPr>
                <w:b/>
                <w:bCs/>
                <w:color w:val="000000"/>
                <w:sz w:val="20"/>
                <w:szCs w:val="20"/>
              </w:rPr>
              <w:t>2023</w:t>
            </w:r>
          </w:p>
        </w:tc>
        <w:tc>
          <w:tcPr>
            <w:tcW w:w="939" w:type="dxa"/>
            <w:shd w:val="clear" w:color="auto" w:fill="auto"/>
            <w:vAlign w:val="center"/>
          </w:tcPr>
          <w:p>
            <w:pPr>
              <w:spacing w:before="20" w:after="20"/>
              <w:ind w:left="-57" w:right="-57"/>
              <w:jc w:val="center"/>
              <w:rPr>
                <w:b/>
                <w:bCs/>
                <w:color w:val="000000"/>
                <w:sz w:val="20"/>
                <w:szCs w:val="20"/>
                <w:lang w:val="en-US"/>
              </w:rPr>
            </w:pPr>
            <w:r>
              <w:rPr>
                <w:b/>
                <w:bCs/>
                <w:color w:val="000000"/>
                <w:sz w:val="20"/>
                <w:szCs w:val="20"/>
                <w:lang w:val="en-US"/>
              </w:rPr>
              <w:t>2028</w:t>
            </w:r>
          </w:p>
        </w:tc>
        <w:tc>
          <w:tcPr>
            <w:tcW w:w="946" w:type="dxa"/>
            <w:vAlign w:val="center"/>
          </w:tcPr>
          <w:p>
            <w:pPr>
              <w:spacing w:before="20" w:after="20"/>
              <w:ind w:left="-57" w:right="-57"/>
              <w:jc w:val="center"/>
              <w:rPr>
                <w:b/>
                <w:bCs/>
                <w:color w:val="000000"/>
                <w:sz w:val="20"/>
                <w:szCs w:val="20"/>
                <w:lang w:val="en-US"/>
              </w:rPr>
            </w:pPr>
            <w:r>
              <w:rPr>
                <w:b/>
                <w:bCs/>
                <w:color w:val="000000"/>
                <w:sz w:val="20"/>
                <w:szCs w:val="20"/>
                <w:lang w:val="en-US"/>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555" w:type="dxa"/>
            <w:shd w:val="clear" w:color="auto" w:fill="auto"/>
            <w:vAlign w:val="center"/>
          </w:tcPr>
          <w:p>
            <w:pPr>
              <w:jc w:val="center"/>
              <w:rPr>
                <w:b/>
                <w:bCs/>
                <w:color w:val="000000"/>
                <w:sz w:val="20"/>
                <w:szCs w:val="20"/>
              </w:rPr>
            </w:pPr>
            <w:r>
              <w:rPr>
                <w:b/>
                <w:bCs/>
                <w:color w:val="000000"/>
                <w:sz w:val="20"/>
                <w:szCs w:val="20"/>
              </w:rPr>
              <w:t>0</w:t>
            </w:r>
          </w:p>
        </w:tc>
        <w:tc>
          <w:tcPr>
            <w:tcW w:w="939" w:type="dxa"/>
            <w:shd w:val="clear" w:color="auto" w:fill="auto"/>
            <w:vAlign w:val="center"/>
          </w:tcPr>
          <w:p>
            <w:pPr>
              <w:jc w:val="center"/>
              <w:rPr>
                <w:b/>
                <w:bCs/>
                <w:color w:val="000000"/>
                <w:sz w:val="20"/>
                <w:szCs w:val="20"/>
              </w:rPr>
            </w:pPr>
            <w:r>
              <w:rPr>
                <w:b/>
                <w:bCs/>
                <w:color w:val="000000"/>
                <w:sz w:val="20"/>
                <w:szCs w:val="20"/>
              </w:rPr>
              <w:t>11182</w:t>
            </w:r>
          </w:p>
        </w:tc>
        <w:tc>
          <w:tcPr>
            <w:tcW w:w="939" w:type="dxa"/>
            <w:shd w:val="clear" w:color="auto" w:fill="auto"/>
            <w:vAlign w:val="center"/>
          </w:tcPr>
          <w:p>
            <w:pPr>
              <w:jc w:val="center"/>
              <w:rPr>
                <w:b/>
                <w:bCs/>
                <w:color w:val="000000"/>
                <w:sz w:val="20"/>
                <w:szCs w:val="20"/>
              </w:rPr>
            </w:pPr>
            <w:r>
              <w:rPr>
                <w:b/>
                <w:bCs/>
                <w:color w:val="000000"/>
                <w:sz w:val="20"/>
                <w:szCs w:val="20"/>
              </w:rPr>
              <w:t>22804</w:t>
            </w:r>
          </w:p>
        </w:tc>
        <w:tc>
          <w:tcPr>
            <w:tcW w:w="939" w:type="dxa"/>
            <w:shd w:val="clear" w:color="auto" w:fill="auto"/>
            <w:vAlign w:val="center"/>
          </w:tcPr>
          <w:p>
            <w:pPr>
              <w:jc w:val="center"/>
              <w:rPr>
                <w:b/>
                <w:bCs/>
                <w:color w:val="000000"/>
                <w:sz w:val="20"/>
                <w:szCs w:val="20"/>
              </w:rPr>
            </w:pPr>
            <w:r>
              <w:rPr>
                <w:b/>
                <w:bCs/>
                <w:color w:val="000000"/>
                <w:sz w:val="20"/>
                <w:szCs w:val="20"/>
              </w:rPr>
              <w:t>33638</w:t>
            </w:r>
          </w:p>
        </w:tc>
        <w:tc>
          <w:tcPr>
            <w:tcW w:w="939" w:type="dxa"/>
            <w:shd w:val="clear" w:color="auto" w:fill="auto"/>
            <w:vAlign w:val="center"/>
          </w:tcPr>
          <w:p>
            <w:pPr>
              <w:jc w:val="center"/>
              <w:rPr>
                <w:b/>
                <w:bCs/>
                <w:color w:val="000000"/>
                <w:sz w:val="20"/>
                <w:szCs w:val="20"/>
              </w:rPr>
            </w:pPr>
            <w:r>
              <w:rPr>
                <w:b/>
                <w:bCs/>
                <w:color w:val="000000"/>
                <w:sz w:val="20"/>
                <w:szCs w:val="20"/>
              </w:rPr>
              <w:t>35824</w:t>
            </w:r>
          </w:p>
        </w:tc>
        <w:tc>
          <w:tcPr>
            <w:tcW w:w="939" w:type="dxa"/>
            <w:shd w:val="clear" w:color="auto" w:fill="auto"/>
            <w:vAlign w:val="center"/>
          </w:tcPr>
          <w:p>
            <w:pPr>
              <w:jc w:val="center"/>
              <w:rPr>
                <w:b/>
                <w:bCs/>
                <w:color w:val="000000"/>
                <w:sz w:val="20"/>
                <w:szCs w:val="20"/>
              </w:rPr>
            </w:pPr>
            <w:r>
              <w:rPr>
                <w:b/>
                <w:bCs/>
                <w:color w:val="000000"/>
                <w:sz w:val="20"/>
                <w:szCs w:val="20"/>
              </w:rPr>
              <w:t>47222</w:t>
            </w:r>
          </w:p>
        </w:tc>
        <w:tc>
          <w:tcPr>
            <w:tcW w:w="946" w:type="dxa"/>
            <w:vAlign w:val="center"/>
          </w:tcPr>
          <w:p>
            <w:pPr>
              <w:jc w:val="center"/>
              <w:rPr>
                <w:b/>
                <w:bCs/>
                <w:color w:val="000000"/>
                <w:sz w:val="20"/>
                <w:szCs w:val="20"/>
              </w:rPr>
            </w:pPr>
            <w:r>
              <w:rPr>
                <w:b/>
                <w:bCs/>
                <w:color w:val="000000"/>
                <w:sz w:val="20"/>
                <w:szCs w:val="20"/>
              </w:rPr>
              <w:t>53375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color w:val="000000"/>
                <w:sz w:val="20"/>
                <w:szCs w:val="20"/>
              </w:rPr>
            </w:pPr>
            <w:r>
              <w:rPr>
                <w:color w:val="000000"/>
                <w:sz w:val="20"/>
                <w:szCs w:val="20"/>
              </w:rPr>
              <w:t>11182</w:t>
            </w:r>
          </w:p>
        </w:tc>
        <w:tc>
          <w:tcPr>
            <w:tcW w:w="939" w:type="dxa"/>
            <w:shd w:val="clear" w:color="auto" w:fill="auto"/>
            <w:vAlign w:val="center"/>
          </w:tcPr>
          <w:p>
            <w:pPr>
              <w:jc w:val="center"/>
              <w:rPr>
                <w:color w:val="000000"/>
                <w:sz w:val="20"/>
                <w:szCs w:val="20"/>
              </w:rPr>
            </w:pPr>
            <w:r>
              <w:rPr>
                <w:color w:val="000000"/>
                <w:sz w:val="20"/>
                <w:szCs w:val="20"/>
              </w:rPr>
              <w:t>22804</w:t>
            </w:r>
          </w:p>
        </w:tc>
        <w:tc>
          <w:tcPr>
            <w:tcW w:w="939" w:type="dxa"/>
            <w:shd w:val="clear" w:color="auto" w:fill="auto"/>
            <w:vAlign w:val="center"/>
          </w:tcPr>
          <w:p>
            <w:pPr>
              <w:jc w:val="center"/>
              <w:rPr>
                <w:color w:val="000000"/>
                <w:sz w:val="20"/>
                <w:szCs w:val="20"/>
              </w:rPr>
            </w:pPr>
            <w:r>
              <w:rPr>
                <w:color w:val="000000"/>
                <w:sz w:val="20"/>
                <w:szCs w:val="20"/>
              </w:rPr>
              <w:t>33638</w:t>
            </w:r>
          </w:p>
        </w:tc>
        <w:tc>
          <w:tcPr>
            <w:tcW w:w="939" w:type="dxa"/>
            <w:shd w:val="clear" w:color="auto" w:fill="auto"/>
            <w:vAlign w:val="center"/>
          </w:tcPr>
          <w:p>
            <w:pPr>
              <w:jc w:val="center"/>
              <w:rPr>
                <w:color w:val="000000"/>
                <w:sz w:val="20"/>
                <w:szCs w:val="20"/>
              </w:rPr>
            </w:pPr>
            <w:r>
              <w:rPr>
                <w:color w:val="000000"/>
                <w:sz w:val="20"/>
                <w:szCs w:val="20"/>
              </w:rPr>
              <w:t>35824</w:t>
            </w:r>
          </w:p>
        </w:tc>
        <w:tc>
          <w:tcPr>
            <w:tcW w:w="939" w:type="dxa"/>
            <w:shd w:val="clear" w:color="auto" w:fill="auto"/>
            <w:vAlign w:val="center"/>
          </w:tcPr>
          <w:p>
            <w:pPr>
              <w:jc w:val="center"/>
              <w:rPr>
                <w:color w:val="000000"/>
                <w:sz w:val="20"/>
                <w:szCs w:val="20"/>
              </w:rPr>
            </w:pPr>
            <w:r>
              <w:rPr>
                <w:color w:val="000000"/>
                <w:sz w:val="20"/>
                <w:szCs w:val="20"/>
              </w:rPr>
              <w:t>47222</w:t>
            </w:r>
          </w:p>
        </w:tc>
        <w:tc>
          <w:tcPr>
            <w:tcW w:w="946" w:type="dxa"/>
            <w:vAlign w:val="center"/>
          </w:tcPr>
          <w:p>
            <w:pPr>
              <w:jc w:val="center"/>
              <w:rPr>
                <w:color w:val="000000"/>
                <w:sz w:val="20"/>
                <w:szCs w:val="20"/>
              </w:rPr>
            </w:pPr>
            <w:r>
              <w:rPr>
                <w:color w:val="000000"/>
                <w:sz w:val="20"/>
                <w:szCs w:val="20"/>
              </w:rPr>
              <w:t>53375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57" w:right="-57"/>
              <w:rPr>
                <w:b/>
                <w:bCs/>
                <w:color w:val="000000"/>
                <w:sz w:val="20"/>
                <w:szCs w:val="20"/>
              </w:rPr>
            </w:pPr>
            <w:r>
              <w:rPr>
                <w:b/>
                <w:bCs/>
                <w:color w:val="000000"/>
                <w:sz w:val="20"/>
                <w:szCs w:val="20"/>
              </w:rPr>
              <w:t>Проекты по срокам окупаемости, в т.ч.:</w:t>
            </w:r>
          </w:p>
        </w:tc>
        <w:tc>
          <w:tcPr>
            <w:tcW w:w="555"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color w:val="000000"/>
                <w:sz w:val="20"/>
                <w:szCs w:val="20"/>
              </w:rPr>
            </w:pPr>
            <w:r>
              <w:rPr>
                <w:color w:val="000000"/>
                <w:sz w:val="20"/>
                <w:szCs w:val="20"/>
              </w:rPr>
              <w:t>11182</w:t>
            </w:r>
          </w:p>
        </w:tc>
        <w:tc>
          <w:tcPr>
            <w:tcW w:w="939" w:type="dxa"/>
            <w:shd w:val="clear" w:color="auto" w:fill="auto"/>
            <w:vAlign w:val="center"/>
          </w:tcPr>
          <w:p>
            <w:pPr>
              <w:jc w:val="center"/>
              <w:rPr>
                <w:color w:val="000000"/>
                <w:sz w:val="20"/>
                <w:szCs w:val="20"/>
              </w:rPr>
            </w:pPr>
            <w:r>
              <w:rPr>
                <w:color w:val="000000"/>
                <w:sz w:val="20"/>
                <w:szCs w:val="20"/>
              </w:rPr>
              <w:t>22804</w:t>
            </w:r>
          </w:p>
        </w:tc>
        <w:tc>
          <w:tcPr>
            <w:tcW w:w="939" w:type="dxa"/>
            <w:shd w:val="clear" w:color="auto" w:fill="auto"/>
            <w:vAlign w:val="center"/>
          </w:tcPr>
          <w:p>
            <w:pPr>
              <w:jc w:val="center"/>
              <w:rPr>
                <w:color w:val="000000"/>
                <w:sz w:val="20"/>
                <w:szCs w:val="20"/>
              </w:rPr>
            </w:pPr>
            <w:r>
              <w:rPr>
                <w:color w:val="000000"/>
                <w:sz w:val="20"/>
                <w:szCs w:val="20"/>
              </w:rPr>
              <w:t>33638</w:t>
            </w:r>
          </w:p>
        </w:tc>
        <w:tc>
          <w:tcPr>
            <w:tcW w:w="939" w:type="dxa"/>
            <w:shd w:val="clear" w:color="auto" w:fill="auto"/>
            <w:vAlign w:val="center"/>
          </w:tcPr>
          <w:p>
            <w:pPr>
              <w:jc w:val="center"/>
              <w:rPr>
                <w:color w:val="000000"/>
                <w:sz w:val="20"/>
                <w:szCs w:val="20"/>
              </w:rPr>
            </w:pPr>
            <w:r>
              <w:rPr>
                <w:color w:val="000000"/>
                <w:sz w:val="20"/>
                <w:szCs w:val="20"/>
              </w:rPr>
              <w:t>35824</w:t>
            </w:r>
          </w:p>
        </w:tc>
        <w:tc>
          <w:tcPr>
            <w:tcW w:w="939" w:type="dxa"/>
            <w:shd w:val="clear" w:color="auto" w:fill="auto"/>
            <w:vAlign w:val="center"/>
          </w:tcPr>
          <w:p>
            <w:pPr>
              <w:jc w:val="center"/>
              <w:rPr>
                <w:color w:val="000000"/>
                <w:sz w:val="20"/>
                <w:szCs w:val="20"/>
              </w:rPr>
            </w:pPr>
            <w:r>
              <w:rPr>
                <w:color w:val="000000"/>
                <w:sz w:val="20"/>
                <w:szCs w:val="20"/>
              </w:rPr>
              <w:t>47222</w:t>
            </w:r>
          </w:p>
        </w:tc>
        <w:tc>
          <w:tcPr>
            <w:tcW w:w="946" w:type="dxa"/>
            <w:vAlign w:val="center"/>
          </w:tcPr>
          <w:p>
            <w:pPr>
              <w:jc w:val="center"/>
              <w:rPr>
                <w:color w:val="000000"/>
                <w:sz w:val="20"/>
                <w:szCs w:val="20"/>
              </w:rPr>
            </w:pPr>
            <w:r>
              <w:rPr>
                <w:color w:val="000000"/>
                <w:sz w:val="20"/>
                <w:szCs w:val="20"/>
              </w:rPr>
              <w:t>53375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color w:val="000000"/>
                <w:sz w:val="20"/>
                <w:szCs w:val="20"/>
              </w:rPr>
            </w:pPr>
            <w:r>
              <w:rPr>
                <w:color w:val="000000"/>
                <w:sz w:val="20"/>
                <w:szCs w:val="20"/>
              </w:rPr>
              <w:t>6296</w:t>
            </w:r>
          </w:p>
        </w:tc>
        <w:tc>
          <w:tcPr>
            <w:tcW w:w="939" w:type="dxa"/>
            <w:shd w:val="clear" w:color="auto" w:fill="auto"/>
            <w:vAlign w:val="center"/>
          </w:tcPr>
          <w:p>
            <w:pPr>
              <w:jc w:val="center"/>
              <w:rPr>
                <w:color w:val="000000"/>
                <w:sz w:val="20"/>
                <w:szCs w:val="20"/>
              </w:rPr>
            </w:pPr>
            <w:r>
              <w:rPr>
                <w:color w:val="000000"/>
                <w:sz w:val="20"/>
                <w:szCs w:val="20"/>
              </w:rPr>
              <w:t>9737</w:t>
            </w:r>
          </w:p>
        </w:tc>
        <w:tc>
          <w:tcPr>
            <w:tcW w:w="939" w:type="dxa"/>
            <w:shd w:val="clear" w:color="auto" w:fill="auto"/>
            <w:vAlign w:val="center"/>
          </w:tcPr>
          <w:p>
            <w:pPr>
              <w:jc w:val="center"/>
              <w:rPr>
                <w:color w:val="000000"/>
                <w:sz w:val="20"/>
                <w:szCs w:val="20"/>
              </w:rPr>
            </w:pPr>
            <w:r>
              <w:rPr>
                <w:color w:val="000000"/>
                <w:sz w:val="20"/>
                <w:szCs w:val="20"/>
              </w:rPr>
              <w:t>10405</w:t>
            </w:r>
          </w:p>
        </w:tc>
        <w:tc>
          <w:tcPr>
            <w:tcW w:w="939" w:type="dxa"/>
            <w:shd w:val="clear" w:color="auto" w:fill="auto"/>
            <w:vAlign w:val="center"/>
          </w:tcPr>
          <w:p>
            <w:pPr>
              <w:jc w:val="center"/>
              <w:rPr>
                <w:color w:val="000000"/>
                <w:sz w:val="20"/>
                <w:szCs w:val="20"/>
              </w:rPr>
            </w:pPr>
            <w:r>
              <w:rPr>
                <w:color w:val="000000"/>
                <w:sz w:val="20"/>
                <w:szCs w:val="20"/>
              </w:rPr>
              <w:t>11033</w:t>
            </w:r>
          </w:p>
        </w:tc>
        <w:tc>
          <w:tcPr>
            <w:tcW w:w="939" w:type="dxa"/>
            <w:shd w:val="clear" w:color="auto" w:fill="auto"/>
            <w:vAlign w:val="center"/>
          </w:tcPr>
          <w:p>
            <w:pPr>
              <w:jc w:val="center"/>
              <w:rPr>
                <w:color w:val="000000"/>
                <w:sz w:val="20"/>
                <w:szCs w:val="20"/>
              </w:rPr>
            </w:pPr>
            <w:r>
              <w:rPr>
                <w:color w:val="000000"/>
                <w:sz w:val="20"/>
                <w:szCs w:val="20"/>
              </w:rPr>
              <w:t>14589</w:t>
            </w:r>
          </w:p>
        </w:tc>
        <w:tc>
          <w:tcPr>
            <w:tcW w:w="946" w:type="dxa"/>
            <w:vAlign w:val="center"/>
          </w:tcPr>
          <w:p>
            <w:pPr>
              <w:jc w:val="center"/>
              <w:rPr>
                <w:color w:val="000000"/>
                <w:sz w:val="20"/>
                <w:szCs w:val="20"/>
              </w:rPr>
            </w:pPr>
            <w:r>
              <w:rPr>
                <w:color w:val="000000"/>
                <w:sz w:val="20"/>
                <w:szCs w:val="20"/>
              </w:rPr>
              <w:t>16096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color w:val="000000"/>
                <w:sz w:val="20"/>
                <w:szCs w:val="20"/>
              </w:rPr>
            </w:pPr>
            <w:r>
              <w:rPr>
                <w:color w:val="000000"/>
                <w:sz w:val="20"/>
                <w:szCs w:val="20"/>
              </w:rPr>
              <w:t>0</w:t>
            </w:r>
          </w:p>
        </w:tc>
        <w:tc>
          <w:tcPr>
            <w:tcW w:w="939" w:type="dxa"/>
            <w:shd w:val="clear" w:color="auto" w:fill="auto"/>
            <w:vAlign w:val="center"/>
          </w:tcPr>
          <w:p>
            <w:pPr>
              <w:jc w:val="center"/>
              <w:rPr>
                <w:color w:val="000000"/>
                <w:sz w:val="20"/>
                <w:szCs w:val="20"/>
              </w:rPr>
            </w:pPr>
            <w:r>
              <w:rPr>
                <w:color w:val="000000"/>
                <w:sz w:val="20"/>
                <w:szCs w:val="20"/>
              </w:rPr>
              <w:t>0</w:t>
            </w:r>
          </w:p>
        </w:tc>
        <w:tc>
          <w:tcPr>
            <w:tcW w:w="939" w:type="dxa"/>
            <w:shd w:val="clear" w:color="auto" w:fill="auto"/>
            <w:vAlign w:val="center"/>
          </w:tcPr>
          <w:p>
            <w:pPr>
              <w:jc w:val="center"/>
              <w:rPr>
                <w:color w:val="000000"/>
                <w:sz w:val="20"/>
                <w:szCs w:val="20"/>
              </w:rPr>
            </w:pPr>
            <w:r>
              <w:rPr>
                <w:color w:val="000000"/>
                <w:sz w:val="20"/>
                <w:szCs w:val="20"/>
              </w:rPr>
              <w:t>0</w:t>
            </w:r>
          </w:p>
        </w:tc>
        <w:tc>
          <w:tcPr>
            <w:tcW w:w="939" w:type="dxa"/>
            <w:shd w:val="clear" w:color="auto" w:fill="auto"/>
            <w:vAlign w:val="center"/>
          </w:tcPr>
          <w:p>
            <w:pPr>
              <w:jc w:val="center"/>
              <w:rPr>
                <w:color w:val="000000"/>
                <w:sz w:val="20"/>
                <w:szCs w:val="20"/>
              </w:rPr>
            </w:pPr>
            <w:r>
              <w:rPr>
                <w:color w:val="000000"/>
                <w:sz w:val="20"/>
                <w:szCs w:val="20"/>
              </w:rPr>
              <w:t>0</w:t>
            </w:r>
          </w:p>
        </w:tc>
        <w:tc>
          <w:tcPr>
            <w:tcW w:w="939" w:type="dxa"/>
            <w:shd w:val="clear" w:color="auto" w:fill="auto"/>
            <w:vAlign w:val="center"/>
          </w:tcPr>
          <w:p>
            <w:pPr>
              <w:jc w:val="center"/>
              <w:rPr>
                <w:color w:val="000000"/>
                <w:sz w:val="20"/>
                <w:szCs w:val="20"/>
              </w:rPr>
            </w:pPr>
            <w:r>
              <w:rPr>
                <w:color w:val="000000"/>
                <w:sz w:val="20"/>
                <w:szCs w:val="20"/>
              </w:rPr>
              <w:t>0</w:t>
            </w:r>
          </w:p>
        </w:tc>
        <w:tc>
          <w:tcPr>
            <w:tcW w:w="946" w:type="dxa"/>
            <w:vAlign w:val="center"/>
          </w:tcPr>
          <w:p>
            <w:pPr>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555" w:type="dxa"/>
            <w:shd w:val="clear" w:color="auto" w:fill="auto"/>
            <w:vAlign w:val="center"/>
          </w:tcPr>
          <w:p>
            <w:pPr>
              <w:jc w:val="center"/>
              <w:rPr>
                <w:sz w:val="20"/>
                <w:szCs w:val="20"/>
              </w:rPr>
            </w:pPr>
            <w:r>
              <w:rPr>
                <w:sz w:val="20"/>
                <w:szCs w:val="20"/>
              </w:rPr>
              <w:t>0</w:t>
            </w:r>
          </w:p>
        </w:tc>
        <w:tc>
          <w:tcPr>
            <w:tcW w:w="939" w:type="dxa"/>
            <w:shd w:val="clear" w:color="auto" w:fill="auto"/>
            <w:vAlign w:val="center"/>
          </w:tcPr>
          <w:p>
            <w:pPr>
              <w:jc w:val="center"/>
              <w:rPr>
                <w:color w:val="000000"/>
                <w:sz w:val="20"/>
                <w:szCs w:val="20"/>
              </w:rPr>
            </w:pPr>
            <w:r>
              <w:rPr>
                <w:color w:val="000000"/>
                <w:sz w:val="20"/>
                <w:szCs w:val="20"/>
              </w:rPr>
              <w:t>4886</w:t>
            </w:r>
          </w:p>
        </w:tc>
        <w:tc>
          <w:tcPr>
            <w:tcW w:w="939" w:type="dxa"/>
            <w:shd w:val="clear" w:color="auto" w:fill="auto"/>
            <w:vAlign w:val="center"/>
          </w:tcPr>
          <w:p>
            <w:pPr>
              <w:jc w:val="center"/>
              <w:rPr>
                <w:color w:val="000000"/>
                <w:sz w:val="20"/>
                <w:szCs w:val="20"/>
              </w:rPr>
            </w:pPr>
            <w:r>
              <w:rPr>
                <w:color w:val="000000"/>
                <w:sz w:val="20"/>
                <w:szCs w:val="20"/>
              </w:rPr>
              <w:t>13067</w:t>
            </w:r>
          </w:p>
        </w:tc>
        <w:tc>
          <w:tcPr>
            <w:tcW w:w="939" w:type="dxa"/>
            <w:shd w:val="clear" w:color="auto" w:fill="auto"/>
            <w:vAlign w:val="center"/>
          </w:tcPr>
          <w:p>
            <w:pPr>
              <w:jc w:val="center"/>
              <w:rPr>
                <w:color w:val="000000"/>
                <w:sz w:val="20"/>
                <w:szCs w:val="20"/>
              </w:rPr>
            </w:pPr>
            <w:r>
              <w:rPr>
                <w:color w:val="000000"/>
                <w:sz w:val="20"/>
                <w:szCs w:val="20"/>
              </w:rPr>
              <w:t>23233</w:t>
            </w:r>
          </w:p>
        </w:tc>
        <w:tc>
          <w:tcPr>
            <w:tcW w:w="939" w:type="dxa"/>
            <w:shd w:val="clear" w:color="auto" w:fill="auto"/>
            <w:vAlign w:val="center"/>
          </w:tcPr>
          <w:p>
            <w:pPr>
              <w:jc w:val="center"/>
              <w:rPr>
                <w:color w:val="000000"/>
                <w:sz w:val="20"/>
                <w:szCs w:val="20"/>
              </w:rPr>
            </w:pPr>
            <w:r>
              <w:rPr>
                <w:color w:val="000000"/>
                <w:sz w:val="20"/>
                <w:szCs w:val="20"/>
              </w:rPr>
              <w:t>24791</w:t>
            </w:r>
          </w:p>
        </w:tc>
        <w:tc>
          <w:tcPr>
            <w:tcW w:w="939" w:type="dxa"/>
            <w:shd w:val="clear" w:color="auto" w:fill="auto"/>
            <w:vAlign w:val="center"/>
          </w:tcPr>
          <w:p>
            <w:pPr>
              <w:jc w:val="center"/>
              <w:rPr>
                <w:color w:val="000000"/>
                <w:sz w:val="20"/>
                <w:szCs w:val="20"/>
              </w:rPr>
            </w:pPr>
            <w:r>
              <w:rPr>
                <w:color w:val="000000"/>
                <w:sz w:val="20"/>
                <w:szCs w:val="20"/>
              </w:rPr>
              <w:t>32633</w:t>
            </w:r>
          </w:p>
        </w:tc>
        <w:tc>
          <w:tcPr>
            <w:tcW w:w="946" w:type="dxa"/>
            <w:vAlign w:val="center"/>
          </w:tcPr>
          <w:p>
            <w:pPr>
              <w:jc w:val="center"/>
              <w:rPr>
                <w:color w:val="000000"/>
                <w:sz w:val="20"/>
                <w:szCs w:val="20"/>
              </w:rPr>
            </w:pPr>
            <w:r>
              <w:rPr>
                <w:color w:val="000000"/>
                <w:sz w:val="20"/>
                <w:szCs w:val="20"/>
              </w:rPr>
              <w:t>37279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2767" w:type="dxa"/>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555" w:type="dxa"/>
            <w:shd w:val="clear" w:color="auto" w:fill="auto"/>
            <w:vAlign w:val="center"/>
          </w:tcPr>
          <w:p>
            <w:pPr>
              <w:jc w:val="center"/>
              <w:rPr>
                <w:b/>
                <w:bCs/>
                <w:sz w:val="20"/>
                <w:szCs w:val="20"/>
              </w:rPr>
            </w:pPr>
            <w:r>
              <w:rPr>
                <w:b/>
                <w:bCs/>
                <w:sz w:val="20"/>
                <w:szCs w:val="20"/>
              </w:rPr>
              <w:t>0</w:t>
            </w:r>
          </w:p>
        </w:tc>
        <w:tc>
          <w:tcPr>
            <w:tcW w:w="939" w:type="dxa"/>
            <w:shd w:val="clear" w:color="auto" w:fill="auto"/>
            <w:vAlign w:val="center"/>
          </w:tcPr>
          <w:p>
            <w:pPr>
              <w:jc w:val="center"/>
              <w:rPr>
                <w:color w:val="000000"/>
                <w:sz w:val="20"/>
                <w:szCs w:val="20"/>
              </w:rPr>
            </w:pPr>
            <w:r>
              <w:rPr>
                <w:color w:val="000000"/>
                <w:sz w:val="20"/>
                <w:szCs w:val="20"/>
              </w:rPr>
              <w:t>11182</w:t>
            </w:r>
          </w:p>
        </w:tc>
        <w:tc>
          <w:tcPr>
            <w:tcW w:w="939" w:type="dxa"/>
            <w:shd w:val="clear" w:color="auto" w:fill="auto"/>
            <w:vAlign w:val="center"/>
          </w:tcPr>
          <w:p>
            <w:pPr>
              <w:jc w:val="center"/>
              <w:rPr>
                <w:color w:val="000000"/>
                <w:sz w:val="20"/>
                <w:szCs w:val="20"/>
              </w:rPr>
            </w:pPr>
            <w:r>
              <w:rPr>
                <w:color w:val="000000"/>
                <w:sz w:val="20"/>
                <w:szCs w:val="20"/>
              </w:rPr>
              <w:t>22804</w:t>
            </w:r>
          </w:p>
        </w:tc>
        <w:tc>
          <w:tcPr>
            <w:tcW w:w="939" w:type="dxa"/>
            <w:shd w:val="clear" w:color="auto" w:fill="auto"/>
            <w:vAlign w:val="center"/>
          </w:tcPr>
          <w:p>
            <w:pPr>
              <w:jc w:val="center"/>
              <w:rPr>
                <w:color w:val="000000"/>
                <w:sz w:val="20"/>
                <w:szCs w:val="20"/>
              </w:rPr>
            </w:pPr>
            <w:r>
              <w:rPr>
                <w:color w:val="000000"/>
                <w:sz w:val="20"/>
                <w:szCs w:val="20"/>
              </w:rPr>
              <w:t>33638</w:t>
            </w:r>
          </w:p>
        </w:tc>
        <w:tc>
          <w:tcPr>
            <w:tcW w:w="939" w:type="dxa"/>
            <w:shd w:val="clear" w:color="auto" w:fill="auto"/>
            <w:vAlign w:val="center"/>
          </w:tcPr>
          <w:p>
            <w:pPr>
              <w:jc w:val="center"/>
              <w:rPr>
                <w:color w:val="000000"/>
                <w:sz w:val="20"/>
                <w:szCs w:val="20"/>
              </w:rPr>
            </w:pPr>
            <w:r>
              <w:rPr>
                <w:color w:val="000000"/>
                <w:sz w:val="20"/>
                <w:szCs w:val="20"/>
              </w:rPr>
              <w:t>35824</w:t>
            </w:r>
          </w:p>
        </w:tc>
        <w:tc>
          <w:tcPr>
            <w:tcW w:w="939" w:type="dxa"/>
            <w:shd w:val="clear" w:color="auto" w:fill="auto"/>
            <w:vAlign w:val="center"/>
          </w:tcPr>
          <w:p>
            <w:pPr>
              <w:jc w:val="center"/>
              <w:rPr>
                <w:color w:val="000000"/>
                <w:sz w:val="20"/>
                <w:szCs w:val="20"/>
              </w:rPr>
            </w:pPr>
            <w:r>
              <w:rPr>
                <w:color w:val="000000"/>
                <w:sz w:val="20"/>
                <w:szCs w:val="20"/>
              </w:rPr>
              <w:t>47222</w:t>
            </w:r>
          </w:p>
        </w:tc>
        <w:tc>
          <w:tcPr>
            <w:tcW w:w="946" w:type="dxa"/>
            <w:vAlign w:val="center"/>
          </w:tcPr>
          <w:p>
            <w:pPr>
              <w:jc w:val="center"/>
              <w:rPr>
                <w:color w:val="000000"/>
                <w:sz w:val="20"/>
                <w:szCs w:val="20"/>
              </w:rPr>
            </w:pPr>
            <w:r>
              <w:rPr>
                <w:color w:val="000000"/>
                <w:sz w:val="20"/>
                <w:szCs w:val="20"/>
              </w:rPr>
              <w:t>53375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 xml:space="preserve">бюджетные средства, в т.ч.: </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color w:val="000000"/>
                <w:sz w:val="20"/>
                <w:szCs w:val="20"/>
              </w:rPr>
            </w:pPr>
            <w:r>
              <w:rPr>
                <w:bCs/>
                <w:color w:val="000000"/>
                <w:sz w:val="20"/>
                <w:szCs w:val="20"/>
              </w:rPr>
              <w:t>11182</w:t>
            </w:r>
          </w:p>
        </w:tc>
        <w:tc>
          <w:tcPr>
            <w:tcW w:w="939" w:type="dxa"/>
            <w:shd w:val="clear" w:color="auto" w:fill="auto"/>
            <w:vAlign w:val="center"/>
          </w:tcPr>
          <w:p>
            <w:pPr>
              <w:jc w:val="center"/>
              <w:rPr>
                <w:color w:val="000000"/>
                <w:sz w:val="20"/>
                <w:szCs w:val="20"/>
              </w:rPr>
            </w:pPr>
            <w:r>
              <w:rPr>
                <w:bCs/>
                <w:color w:val="000000"/>
                <w:sz w:val="20"/>
                <w:szCs w:val="20"/>
              </w:rPr>
              <w:t>22804</w:t>
            </w:r>
          </w:p>
        </w:tc>
        <w:tc>
          <w:tcPr>
            <w:tcW w:w="939" w:type="dxa"/>
            <w:shd w:val="clear" w:color="auto" w:fill="auto"/>
            <w:vAlign w:val="center"/>
          </w:tcPr>
          <w:p>
            <w:pPr>
              <w:jc w:val="center"/>
              <w:rPr>
                <w:color w:val="000000"/>
                <w:sz w:val="20"/>
                <w:szCs w:val="20"/>
              </w:rPr>
            </w:pPr>
            <w:r>
              <w:rPr>
                <w:bCs/>
                <w:color w:val="000000"/>
                <w:sz w:val="20"/>
                <w:szCs w:val="20"/>
              </w:rPr>
              <w:t>33638</w:t>
            </w:r>
          </w:p>
        </w:tc>
        <w:tc>
          <w:tcPr>
            <w:tcW w:w="939" w:type="dxa"/>
            <w:shd w:val="clear" w:color="auto" w:fill="auto"/>
            <w:vAlign w:val="center"/>
          </w:tcPr>
          <w:p>
            <w:pPr>
              <w:jc w:val="center"/>
              <w:rPr>
                <w:color w:val="000000"/>
                <w:sz w:val="20"/>
                <w:szCs w:val="20"/>
              </w:rPr>
            </w:pPr>
            <w:r>
              <w:rPr>
                <w:bCs/>
                <w:color w:val="000000"/>
                <w:sz w:val="20"/>
                <w:szCs w:val="20"/>
              </w:rPr>
              <w:t>35824</w:t>
            </w:r>
          </w:p>
        </w:tc>
        <w:tc>
          <w:tcPr>
            <w:tcW w:w="939" w:type="dxa"/>
            <w:shd w:val="clear" w:color="auto" w:fill="auto"/>
            <w:vAlign w:val="center"/>
          </w:tcPr>
          <w:p>
            <w:pPr>
              <w:jc w:val="center"/>
              <w:rPr>
                <w:color w:val="000000"/>
                <w:sz w:val="20"/>
                <w:szCs w:val="20"/>
              </w:rPr>
            </w:pPr>
            <w:r>
              <w:rPr>
                <w:color w:val="000000"/>
                <w:sz w:val="20"/>
                <w:szCs w:val="20"/>
              </w:rPr>
              <w:t>47222</w:t>
            </w:r>
          </w:p>
        </w:tc>
        <w:tc>
          <w:tcPr>
            <w:tcW w:w="946" w:type="dxa"/>
            <w:vAlign w:val="center"/>
          </w:tcPr>
          <w:p>
            <w:pPr>
              <w:jc w:val="center"/>
              <w:rPr>
                <w:color w:val="000000"/>
                <w:sz w:val="20"/>
                <w:szCs w:val="20"/>
              </w:rPr>
            </w:pPr>
            <w:r>
              <w:rPr>
                <w:color w:val="000000"/>
                <w:sz w:val="20"/>
                <w:szCs w:val="20"/>
              </w:rPr>
              <w:t>53375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 xml:space="preserve">плата за подключение к сетям </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767" w:type="dxa"/>
            <w:shd w:val="clear" w:color="auto" w:fill="auto"/>
            <w:vAlign w:val="center"/>
          </w:tcPr>
          <w:p>
            <w:pPr>
              <w:spacing w:before="20" w:after="20"/>
              <w:ind w:left="29" w:right="-57"/>
              <w:rPr>
                <w:color w:val="000000"/>
                <w:sz w:val="20"/>
                <w:szCs w:val="20"/>
              </w:rPr>
            </w:pPr>
            <w:r>
              <w:rPr>
                <w:color w:val="000000"/>
                <w:sz w:val="20"/>
                <w:szCs w:val="20"/>
              </w:rPr>
              <w:t>кредитные средства/</w:t>
            </w:r>
          </w:p>
          <w:p>
            <w:pPr>
              <w:spacing w:before="20" w:after="20"/>
              <w:ind w:left="29" w:right="-57"/>
              <w:rPr>
                <w:color w:val="000000"/>
                <w:sz w:val="20"/>
                <w:szCs w:val="20"/>
              </w:rPr>
            </w:pPr>
            <w:r>
              <w:rPr>
                <w:color w:val="000000"/>
                <w:sz w:val="20"/>
                <w:szCs w:val="20"/>
              </w:rPr>
              <w:t>лизинг</w:t>
            </w:r>
          </w:p>
        </w:tc>
        <w:tc>
          <w:tcPr>
            <w:tcW w:w="555"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bCs/>
                <w:sz w:val="20"/>
                <w:szCs w:val="20"/>
              </w:rPr>
            </w:pPr>
            <w:r>
              <w:rPr>
                <w:bCs/>
                <w:sz w:val="20"/>
                <w:szCs w:val="20"/>
              </w:rPr>
              <w:t>0</w:t>
            </w:r>
          </w:p>
        </w:tc>
        <w:tc>
          <w:tcPr>
            <w:tcW w:w="939" w:type="dxa"/>
            <w:shd w:val="clear" w:color="auto" w:fill="auto"/>
            <w:vAlign w:val="center"/>
          </w:tcPr>
          <w:p>
            <w:pPr>
              <w:jc w:val="center"/>
              <w:rPr>
                <w:sz w:val="20"/>
                <w:szCs w:val="20"/>
              </w:rPr>
            </w:pPr>
            <w:r>
              <w:rPr>
                <w:sz w:val="20"/>
                <w:szCs w:val="20"/>
              </w:rPr>
              <w:t>0</w:t>
            </w:r>
          </w:p>
        </w:tc>
        <w:tc>
          <w:tcPr>
            <w:tcW w:w="946" w:type="dxa"/>
            <w:vAlign w:val="center"/>
          </w:tcPr>
          <w:p>
            <w:pPr>
              <w:jc w:val="center"/>
              <w:rPr>
                <w:sz w:val="20"/>
                <w:szCs w:val="20"/>
              </w:rPr>
            </w:pPr>
            <w:r>
              <w:rPr>
                <w:sz w:val="20"/>
                <w:szCs w:val="20"/>
              </w:rPr>
              <w:t>0</w:t>
            </w:r>
          </w:p>
        </w:tc>
      </w:tr>
    </w:tbl>
    <w:p>
      <w:pPr>
        <w:spacing w:before="120" w:line="360" w:lineRule="auto"/>
        <w:jc w:val="both"/>
        <w:rPr>
          <w:color w:val="000000"/>
          <w:sz w:val="20"/>
          <w:szCs w:val="20"/>
        </w:rPr>
      </w:pPr>
      <w:r>
        <w:rPr>
          <w:color w:val="000000"/>
          <w:sz w:val="20"/>
          <w:szCs w:val="20"/>
        </w:rPr>
        <w:t xml:space="preserve">Источник: расчеты ООО «ЦТЭС». </w:t>
      </w:r>
    </w:p>
    <w:p>
      <w:pPr>
        <w:pStyle w:val="154"/>
        <w:numPr>
          <w:ilvl w:val="2"/>
          <w:numId w:val="30"/>
        </w:numPr>
        <w:spacing w:after="120" w:line="235" w:lineRule="auto"/>
        <w:ind w:hanging="863"/>
        <w:jc w:val="both"/>
        <w:rPr>
          <w:i/>
          <w:color w:val="000000"/>
          <w:sz w:val="30"/>
          <w:szCs w:val="30"/>
        </w:rPr>
      </w:pPr>
      <w:r>
        <w:rPr>
          <w:sz w:val="28"/>
          <w:szCs w:val="28"/>
          <w:u w:val="single"/>
        </w:rPr>
        <w:t>Совокупные капитальные вложения</w:t>
      </w:r>
      <w:r>
        <w:rPr>
          <w:i/>
          <w:color w:val="000000"/>
          <w:sz w:val="30"/>
          <w:szCs w:val="30"/>
        </w:rPr>
        <w:t xml:space="preserve"> </w:t>
      </w:r>
    </w:p>
    <w:p>
      <w:pPr>
        <w:spacing w:line="360" w:lineRule="auto"/>
        <w:ind w:firstLine="567"/>
        <w:jc w:val="both"/>
        <w:rPr>
          <w:color w:val="000000"/>
          <w:sz w:val="28"/>
          <w:szCs w:val="28"/>
        </w:rPr>
      </w:pPr>
      <w:r>
        <w:rPr>
          <w:color w:val="000000"/>
          <w:sz w:val="28"/>
          <w:szCs w:val="28"/>
        </w:rPr>
        <w:t>В таблице 6-10 представлены инвестиционные проекты Программы развития систем коммунальной инфраструктуры территориального управления Одинцово.</w:t>
      </w:r>
    </w:p>
    <w:p>
      <w:pPr>
        <w:spacing w:line="360" w:lineRule="auto"/>
        <w:ind w:firstLine="567"/>
        <w:jc w:val="right"/>
        <w:rPr>
          <w:color w:val="000000"/>
          <w:sz w:val="28"/>
          <w:szCs w:val="28"/>
        </w:rPr>
        <w:sectPr>
          <w:footerReference r:id="rId11" w:type="even"/>
          <w:pgSz w:w="11906" w:h="16838"/>
          <w:pgMar w:top="1276" w:right="1134" w:bottom="1134" w:left="1701" w:header="709" w:footer="709" w:gutter="0"/>
          <w:cols w:space="708" w:num="1"/>
          <w:docGrid w:linePitch="381" w:charSpace="0"/>
        </w:sectPr>
      </w:pPr>
    </w:p>
    <w:p>
      <w:pPr>
        <w:keepNext/>
        <w:autoSpaceDE w:val="0"/>
        <w:autoSpaceDN w:val="0"/>
        <w:adjustRightInd w:val="0"/>
        <w:spacing w:line="360" w:lineRule="auto"/>
        <w:jc w:val="both"/>
        <w:rPr>
          <w:b/>
          <w:color w:val="000000"/>
          <w:sz w:val="28"/>
          <w:szCs w:val="28"/>
        </w:rPr>
      </w:pPr>
      <w:r>
        <w:rPr>
          <w:b/>
          <w:color w:val="000000"/>
          <w:sz w:val="28"/>
          <w:szCs w:val="28"/>
        </w:rPr>
        <w:t xml:space="preserve">Таблица 6-10. Распределение мероприятий по всем инвестиционным программам </w:t>
      </w:r>
    </w:p>
    <w:tbl>
      <w:tblPr>
        <w:tblStyle w:val="100"/>
        <w:tblW w:w="15315" w:type="dxa"/>
        <w:jc w:val="center"/>
        <w:tblInd w:w="0" w:type="dxa"/>
        <w:tblLayout w:type="fixed"/>
        <w:tblCellMar>
          <w:top w:w="0" w:type="dxa"/>
          <w:left w:w="108" w:type="dxa"/>
          <w:bottom w:w="0" w:type="dxa"/>
          <w:right w:w="108" w:type="dxa"/>
        </w:tblCellMar>
      </w:tblPr>
      <w:tblGrid>
        <w:gridCol w:w="2510"/>
        <w:gridCol w:w="1281"/>
        <w:gridCol w:w="1281"/>
        <w:gridCol w:w="1280"/>
        <w:gridCol w:w="1280"/>
        <w:gridCol w:w="1280"/>
        <w:gridCol w:w="1280"/>
        <w:gridCol w:w="1280"/>
        <w:gridCol w:w="1280"/>
        <w:gridCol w:w="1280"/>
        <w:gridCol w:w="1283"/>
      </w:tblGrid>
      <w:tr>
        <w:tblPrEx>
          <w:tblLayout w:type="fixed"/>
          <w:tblCellMar>
            <w:top w:w="0" w:type="dxa"/>
            <w:left w:w="108" w:type="dxa"/>
            <w:bottom w:w="0" w:type="dxa"/>
            <w:right w:w="108" w:type="dxa"/>
          </w:tblCellMar>
        </w:tblPrEx>
        <w:trPr>
          <w:trHeight w:val="300" w:hRule="atLeast"/>
          <w:tblHeader/>
          <w:jc w:val="center"/>
        </w:trPr>
        <w:tc>
          <w:tcPr>
            <w:tcW w:w="251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Группы инвестиционных проектов</w:t>
            </w:r>
          </w:p>
        </w:tc>
        <w:tc>
          <w:tcPr>
            <w:tcW w:w="12805" w:type="dxa"/>
            <w:gridSpan w:val="10"/>
            <w:tcBorders>
              <w:top w:val="single" w:color="auto" w:sz="4" w:space="0"/>
              <w:left w:val="nil"/>
              <w:bottom w:val="single" w:color="auto" w:sz="4" w:space="0"/>
              <w:right w:val="single" w:color="000000" w:sz="4" w:space="0"/>
            </w:tcBorders>
            <w:shd w:val="clear" w:color="auto" w:fill="auto"/>
          </w:tcPr>
          <w:p>
            <w:pPr>
              <w:spacing w:before="20" w:after="20"/>
              <w:ind w:left="-57" w:right="-57"/>
              <w:jc w:val="center"/>
              <w:rPr>
                <w:b/>
                <w:bCs/>
                <w:color w:val="000000"/>
                <w:sz w:val="20"/>
                <w:szCs w:val="20"/>
              </w:rPr>
            </w:pPr>
            <w:r>
              <w:rPr>
                <w:b/>
                <w:bCs/>
                <w:color w:val="000000"/>
                <w:sz w:val="20"/>
                <w:szCs w:val="20"/>
              </w:rPr>
              <w:t>Капитальные вложения, тыс. руб.</w:t>
            </w:r>
          </w:p>
        </w:tc>
      </w:tr>
      <w:tr>
        <w:tblPrEx>
          <w:tblLayout w:type="fixed"/>
          <w:tblCellMar>
            <w:top w:w="0" w:type="dxa"/>
            <w:left w:w="108" w:type="dxa"/>
            <w:bottom w:w="0" w:type="dxa"/>
            <w:right w:w="108" w:type="dxa"/>
          </w:tblCellMar>
        </w:tblPrEx>
        <w:trPr>
          <w:trHeight w:val="761" w:hRule="atLeast"/>
          <w:tblHeader/>
          <w:jc w:val="center"/>
        </w:trPr>
        <w:tc>
          <w:tcPr>
            <w:tcW w:w="25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57" w:right="-57"/>
              <w:rPr>
                <w:b/>
                <w:bCs/>
                <w:color w:val="000000"/>
                <w:sz w:val="20"/>
                <w:szCs w:val="20"/>
              </w:rPr>
            </w:pPr>
          </w:p>
        </w:tc>
        <w:tc>
          <w:tcPr>
            <w:tcW w:w="1281"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Система теплоснабжения</w:t>
            </w:r>
          </w:p>
        </w:tc>
        <w:tc>
          <w:tcPr>
            <w:tcW w:w="1281"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Система водоснабжения</w:t>
            </w:r>
          </w:p>
        </w:tc>
        <w:tc>
          <w:tcPr>
            <w:tcW w:w="1280"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 xml:space="preserve">Система </w:t>
            </w:r>
          </w:p>
          <w:p>
            <w:pPr>
              <w:spacing w:before="20" w:after="20"/>
              <w:ind w:left="-57" w:right="-57"/>
              <w:jc w:val="center"/>
              <w:rPr>
                <w:b/>
                <w:bCs/>
                <w:color w:val="000000"/>
                <w:sz w:val="20"/>
                <w:szCs w:val="20"/>
              </w:rPr>
            </w:pPr>
            <w:r>
              <w:rPr>
                <w:b/>
                <w:bCs/>
                <w:color w:val="000000"/>
                <w:sz w:val="20"/>
                <w:szCs w:val="20"/>
              </w:rPr>
              <w:t>водоотведения</w:t>
            </w:r>
          </w:p>
        </w:tc>
        <w:tc>
          <w:tcPr>
            <w:tcW w:w="1280"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Система электроснабжения</w:t>
            </w:r>
          </w:p>
        </w:tc>
        <w:tc>
          <w:tcPr>
            <w:tcW w:w="1280" w:type="dxa"/>
            <w:tcBorders>
              <w:top w:val="single" w:color="auto" w:sz="4" w:space="0"/>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 xml:space="preserve">Система </w:t>
            </w:r>
          </w:p>
          <w:p>
            <w:pPr>
              <w:spacing w:before="20" w:after="20"/>
              <w:ind w:left="-57" w:right="-57"/>
              <w:jc w:val="center"/>
              <w:rPr>
                <w:b/>
                <w:bCs/>
                <w:color w:val="000000"/>
                <w:sz w:val="20"/>
                <w:szCs w:val="20"/>
              </w:rPr>
            </w:pPr>
            <w:r>
              <w:rPr>
                <w:b/>
                <w:bCs/>
                <w:color w:val="000000"/>
                <w:sz w:val="20"/>
                <w:szCs w:val="20"/>
              </w:rPr>
              <w:t>газоснабжения</w:t>
            </w:r>
          </w:p>
        </w:tc>
        <w:tc>
          <w:tcPr>
            <w:tcW w:w="1280" w:type="dxa"/>
            <w:tcBorders>
              <w:top w:val="nil"/>
              <w:left w:val="single" w:color="auto" w:sz="4" w:space="0"/>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 xml:space="preserve">Система </w:t>
            </w:r>
          </w:p>
          <w:p>
            <w:pPr>
              <w:spacing w:before="20" w:after="20"/>
              <w:ind w:left="-57" w:right="-57"/>
              <w:jc w:val="center"/>
              <w:rPr>
                <w:b/>
                <w:bCs/>
                <w:color w:val="000000"/>
                <w:sz w:val="20"/>
                <w:szCs w:val="20"/>
              </w:rPr>
            </w:pPr>
            <w:r>
              <w:rPr>
                <w:b/>
                <w:bCs/>
                <w:color w:val="000000"/>
                <w:sz w:val="20"/>
                <w:szCs w:val="20"/>
              </w:rPr>
              <w:t>обращения ТКО</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 xml:space="preserve">Жилые </w:t>
            </w:r>
          </w:p>
          <w:p>
            <w:pPr>
              <w:spacing w:before="20" w:after="20"/>
              <w:ind w:left="-57" w:right="-57"/>
              <w:jc w:val="center"/>
              <w:rPr>
                <w:b/>
                <w:bCs/>
                <w:color w:val="000000"/>
                <w:sz w:val="20"/>
                <w:szCs w:val="20"/>
              </w:rPr>
            </w:pPr>
            <w:r>
              <w:rPr>
                <w:b/>
                <w:bCs/>
                <w:color w:val="000000"/>
                <w:sz w:val="20"/>
                <w:szCs w:val="20"/>
              </w:rPr>
              <w:t>здания</w:t>
            </w:r>
          </w:p>
        </w:tc>
        <w:tc>
          <w:tcPr>
            <w:tcW w:w="1280"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Общественно-деловые здания</w:t>
            </w:r>
          </w:p>
        </w:tc>
        <w:tc>
          <w:tcPr>
            <w:tcW w:w="1280" w:type="dxa"/>
            <w:tcBorders>
              <w:top w:val="nil"/>
              <w:left w:val="single" w:color="auto" w:sz="4" w:space="0"/>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Система наружного освещения</w:t>
            </w:r>
          </w:p>
        </w:tc>
        <w:tc>
          <w:tcPr>
            <w:tcW w:w="1283" w:type="dxa"/>
            <w:tcBorders>
              <w:top w:val="nil"/>
              <w:left w:val="nil"/>
              <w:bottom w:val="single" w:color="auto" w:sz="4" w:space="0"/>
              <w:right w:val="single" w:color="auto" w:sz="4" w:space="0"/>
            </w:tcBorders>
            <w:shd w:val="clear" w:color="auto" w:fill="auto"/>
            <w:vAlign w:val="center"/>
          </w:tcPr>
          <w:p>
            <w:pPr>
              <w:spacing w:before="20" w:after="20"/>
              <w:ind w:left="-57" w:right="-57"/>
              <w:jc w:val="center"/>
              <w:rPr>
                <w:b/>
                <w:bCs/>
                <w:color w:val="000000"/>
                <w:sz w:val="20"/>
                <w:szCs w:val="20"/>
              </w:rPr>
            </w:pPr>
            <w:r>
              <w:rPr>
                <w:b/>
                <w:bCs/>
                <w:color w:val="000000"/>
                <w:sz w:val="20"/>
                <w:szCs w:val="20"/>
              </w:rPr>
              <w:t>Всего</w:t>
            </w:r>
          </w:p>
        </w:tc>
      </w:tr>
      <w:tr>
        <w:tblPrEx>
          <w:tblLayout w:type="fixed"/>
          <w:tblCellMar>
            <w:top w:w="0" w:type="dxa"/>
            <w:left w:w="108" w:type="dxa"/>
            <w:bottom w:w="0" w:type="dxa"/>
            <w:right w:w="108" w:type="dxa"/>
          </w:tblCellMar>
        </w:tblPrEx>
        <w:trPr>
          <w:trHeight w:val="30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целям </w:t>
            </w:r>
          </w:p>
          <w:p>
            <w:pPr>
              <w:spacing w:before="20" w:after="20"/>
              <w:ind w:left="-57" w:right="-57"/>
              <w:rPr>
                <w:b/>
                <w:bCs/>
                <w:color w:val="000000"/>
                <w:sz w:val="20"/>
                <w:szCs w:val="20"/>
              </w:rPr>
            </w:pPr>
            <w:r>
              <w:rPr>
                <w:b/>
                <w:bCs/>
                <w:color w:val="000000"/>
                <w:sz w:val="20"/>
                <w:szCs w:val="20"/>
              </w:rPr>
              <w:t>реализации, в т.ч.:</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4 695 427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923 127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865 469</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1 061 857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442 360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137 730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470 628</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b/>
                <w:color w:val="000000"/>
                <w:sz w:val="20"/>
                <w:szCs w:val="20"/>
              </w:rPr>
            </w:pPr>
            <w:r>
              <w:rPr>
                <w:b/>
                <w:color w:val="000000"/>
                <w:sz w:val="20"/>
                <w:szCs w:val="20"/>
              </w:rPr>
              <w:t>10 487 796</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нацеленные на присоединение новых потребителей</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2 829 177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863 166</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607 456</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18 873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4 318 671</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обеспечивающие повышение надежности ресурсоснабжения</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1 866 251</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59 962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258 013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1 042 984</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311 180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3 538 390</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экологических требований</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131 180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137 730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268 910</w:t>
            </w:r>
          </w:p>
        </w:tc>
      </w:tr>
      <w:tr>
        <w:tblPrEx>
          <w:tblLayout w:type="fixed"/>
          <w:tblCellMar>
            <w:top w:w="0" w:type="dxa"/>
            <w:left w:w="108" w:type="dxa"/>
            <w:bottom w:w="0" w:type="dxa"/>
            <w:right w:w="108" w:type="dxa"/>
          </w:tblCellMar>
        </w:tblPrEx>
        <w:trPr>
          <w:trHeight w:val="765"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обеспечивающие выполнение требований законодательства об энергосбережении</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470 628</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2 361 825</w:t>
            </w:r>
          </w:p>
        </w:tc>
      </w:tr>
      <w:tr>
        <w:tblPrEx>
          <w:tblLayout w:type="fixed"/>
          <w:tblCellMar>
            <w:top w:w="0" w:type="dxa"/>
            <w:left w:w="108" w:type="dxa"/>
            <w:bottom w:w="0" w:type="dxa"/>
            <w:right w:w="108" w:type="dxa"/>
          </w:tblCellMar>
        </w:tblPrEx>
        <w:trPr>
          <w:trHeight w:val="30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57" w:right="-57"/>
              <w:rPr>
                <w:b/>
                <w:bCs/>
                <w:color w:val="000000"/>
                <w:sz w:val="20"/>
                <w:szCs w:val="20"/>
              </w:rPr>
            </w:pPr>
            <w:r>
              <w:rPr>
                <w:b/>
                <w:bCs/>
                <w:color w:val="000000"/>
                <w:sz w:val="20"/>
                <w:szCs w:val="20"/>
              </w:rPr>
              <w:t xml:space="preserve">Проекты по срокам </w:t>
            </w:r>
          </w:p>
          <w:p>
            <w:pPr>
              <w:spacing w:before="20" w:after="20"/>
              <w:ind w:left="-57" w:right="-57"/>
              <w:rPr>
                <w:b/>
                <w:bCs/>
                <w:color w:val="000000"/>
                <w:sz w:val="20"/>
                <w:szCs w:val="20"/>
              </w:rPr>
            </w:pPr>
            <w:r>
              <w:rPr>
                <w:b/>
                <w:bCs/>
                <w:color w:val="000000"/>
                <w:sz w:val="20"/>
                <w:szCs w:val="20"/>
              </w:rPr>
              <w:t>окупаемости, в т.ч.: *</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4 695 427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923 127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865 469</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1 061 857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442 360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137 730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470 628</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10 487 796</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быстроокупаемые проекты (срок окупаемости до 7 лет)</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1 904 141</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24 924</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350 974</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599 291</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149 823</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4 486</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3 033 639</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среднеокупаемые проекты (срок окупаемости 7-15 лет)</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490 527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923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90 415</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18 873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600 738</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долгоокупаемые проекты (срок окупаемости более 15 лет)</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2 300 759</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897 280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424 080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1 042 984</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442 360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137 730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1 283 220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320 805</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4 200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6 853 418</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57" w:right="-57"/>
              <w:rPr>
                <w:b/>
                <w:bCs/>
                <w:color w:val="000000"/>
                <w:sz w:val="20"/>
                <w:szCs w:val="20"/>
              </w:rPr>
            </w:pPr>
            <w:r>
              <w:rPr>
                <w:b/>
                <w:bCs/>
                <w:color w:val="000000"/>
                <w:sz w:val="20"/>
                <w:szCs w:val="20"/>
              </w:rPr>
              <w:t>Проекты по источникам финансирования, в т.ч.:</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4 695 427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923 127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865 469</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1 061 857</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442 360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137 730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470 628</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10 487 796</w:t>
            </w:r>
          </w:p>
        </w:tc>
      </w:tr>
      <w:tr>
        <w:tblPrEx>
          <w:tblLayout w:type="fixed"/>
          <w:tblCellMar>
            <w:top w:w="0" w:type="dxa"/>
            <w:left w:w="108" w:type="dxa"/>
            <w:bottom w:w="0" w:type="dxa"/>
            <w:right w:w="108" w:type="dxa"/>
          </w:tblCellMar>
        </w:tblPrEx>
        <w:trPr>
          <w:trHeight w:val="30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бюджетные средства, в т.ч.:</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31 446</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470 628</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502 074</w:t>
            </w:r>
          </w:p>
        </w:tc>
      </w:tr>
      <w:tr>
        <w:tblPrEx>
          <w:tblLayout w:type="fixed"/>
          <w:tblCellMar>
            <w:top w:w="0" w:type="dxa"/>
            <w:left w:w="108" w:type="dxa"/>
            <w:bottom w:w="0" w:type="dxa"/>
            <w:right w:w="108" w:type="dxa"/>
          </w:tblCellMar>
        </w:tblPrEx>
        <w:trPr>
          <w:trHeight w:val="30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171" w:right="-57"/>
              <w:rPr>
                <w:color w:val="000000"/>
                <w:sz w:val="20"/>
                <w:szCs w:val="20"/>
              </w:rPr>
            </w:pPr>
            <w:r>
              <w:rPr>
                <w:color w:val="000000"/>
                <w:sz w:val="20"/>
                <w:szCs w:val="20"/>
              </w:rPr>
              <w:t>бюджет МО</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8 685</w:t>
            </w:r>
          </w:p>
        </w:tc>
      </w:tr>
      <w:tr>
        <w:tblPrEx>
          <w:tblLayout w:type="fixed"/>
          <w:tblCellMar>
            <w:top w:w="0" w:type="dxa"/>
            <w:left w:w="108" w:type="dxa"/>
            <w:bottom w:w="0" w:type="dxa"/>
            <w:right w:w="108" w:type="dxa"/>
          </w:tblCellMar>
        </w:tblPrEx>
        <w:trPr>
          <w:trHeight w:val="30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капитальные вложения из прибыли</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1 866 251</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59 962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258 013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442 360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2 626 585</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плата за технологическое присоединение</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2 829 177</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863 166</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607 456</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18 873</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4 318 671</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плата за резервирование тепловой мощности</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1 042 984</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1 042 984</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 xml:space="preserve">амортизационные </w:t>
            </w:r>
          </w:p>
          <w:p>
            <w:pPr>
              <w:spacing w:before="20" w:after="20"/>
              <w:ind w:left="29" w:right="-57"/>
              <w:rPr>
                <w:color w:val="000000"/>
                <w:sz w:val="20"/>
                <w:szCs w:val="20"/>
              </w:rPr>
            </w:pPr>
            <w:r>
              <w:rPr>
                <w:color w:val="000000"/>
                <w:sz w:val="20"/>
                <w:szCs w:val="20"/>
              </w:rPr>
              <w:t>отчисления</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0"/>
                <w:szCs w:val="20"/>
              </w:rPr>
            </w:pPr>
            <w:r>
              <w:rPr>
                <w:sz w:val="20"/>
                <w:szCs w:val="20"/>
              </w:rPr>
              <w:t>106 284</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106 284</w:t>
            </w:r>
          </w:p>
        </w:tc>
      </w:tr>
      <w:tr>
        <w:tblPrEx>
          <w:tblLayout w:type="fixed"/>
          <w:tblCellMar>
            <w:top w:w="0" w:type="dxa"/>
            <w:left w:w="108" w:type="dxa"/>
            <w:bottom w:w="0" w:type="dxa"/>
            <w:right w:w="108" w:type="dxa"/>
          </w:tblCellMar>
        </w:tblPrEx>
        <w:trPr>
          <w:trHeight w:val="510" w:hRule="atLeast"/>
          <w:jc w:val="center"/>
        </w:trPr>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20" w:after="20"/>
              <w:ind w:left="29" w:right="-57"/>
              <w:rPr>
                <w:color w:val="000000"/>
                <w:sz w:val="20"/>
                <w:szCs w:val="20"/>
              </w:rPr>
            </w:pPr>
            <w:r>
              <w:rPr>
                <w:color w:val="000000"/>
                <w:sz w:val="20"/>
                <w:szCs w:val="20"/>
              </w:rPr>
              <w:t>кредитные средства/лизинг</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1"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c>
          <w:tcPr>
            <w:tcW w:w="1280"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w:t>
            </w:r>
          </w:p>
        </w:tc>
        <w:tc>
          <w:tcPr>
            <w:tcW w:w="1283" w:type="dxa"/>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1 882 512</w:t>
            </w:r>
          </w:p>
        </w:tc>
      </w:tr>
    </w:tbl>
    <w:p>
      <w:pPr>
        <w:spacing w:before="120"/>
        <w:rPr>
          <w:color w:val="000000"/>
          <w:sz w:val="20"/>
          <w:szCs w:val="20"/>
        </w:rPr>
        <w:sectPr>
          <w:pgSz w:w="16838" w:h="11906" w:orient="landscape"/>
          <w:pgMar w:top="1276" w:right="1134" w:bottom="1134" w:left="1276" w:header="709" w:footer="709" w:gutter="0"/>
          <w:cols w:space="708" w:num="1"/>
          <w:docGrid w:linePitch="381" w:charSpace="0"/>
        </w:sectPr>
      </w:pPr>
      <w:r>
        <w:rPr>
          <w:color w:val="000000"/>
          <w:sz w:val="20"/>
          <w:szCs w:val="20"/>
        </w:rPr>
        <w:t xml:space="preserve">Источник: расчеты ООО «ЦТЭС». </w:t>
      </w:r>
    </w:p>
    <w:p>
      <w:pPr>
        <w:pStyle w:val="3"/>
        <w:numPr>
          <w:ilvl w:val="1"/>
          <w:numId w:val="30"/>
        </w:numPr>
        <w:pBdr>
          <w:bottom w:val="single" w:color="auto" w:sz="12" w:space="0"/>
        </w:pBdr>
        <w:tabs>
          <w:tab w:val="left" w:pos="1134"/>
        </w:tabs>
        <w:spacing w:before="120" w:after="200"/>
        <w:ind w:left="1134" w:hanging="567"/>
        <w:rPr>
          <w:rFonts w:ascii="Times New Roman" w:hAnsi="Times New Roman"/>
          <w:i w:val="0"/>
          <w:color w:val="000000"/>
          <w:sz w:val="30"/>
          <w:szCs w:val="30"/>
        </w:rPr>
      </w:pPr>
      <w:bookmarkStart w:id="54" w:name="_Toc21015071"/>
      <w:r>
        <w:rPr>
          <w:rFonts w:ascii="Times New Roman" w:hAnsi="Times New Roman"/>
          <w:i w:val="0"/>
          <w:color w:val="000000"/>
          <w:sz w:val="30"/>
          <w:szCs w:val="30"/>
        </w:rPr>
        <w:t>Тариф и плата за подключение (технологическое присоединение)</w:t>
      </w:r>
      <w:bookmarkEnd w:id="54"/>
    </w:p>
    <w:p>
      <w:pPr>
        <w:tabs>
          <w:tab w:val="left" w:pos="1134"/>
        </w:tabs>
        <w:spacing w:line="360" w:lineRule="auto"/>
        <w:ind w:firstLine="567"/>
        <w:jc w:val="both"/>
        <w:rPr>
          <w:color w:val="000000"/>
          <w:sz w:val="28"/>
          <w:szCs w:val="28"/>
        </w:rPr>
      </w:pPr>
      <w:r>
        <w:rPr>
          <w:color w:val="000000"/>
          <w:sz w:val="28"/>
          <w:szCs w:val="28"/>
        </w:rPr>
        <w:t xml:space="preserve">Инвестиционные проекты по строительству объектов инфраструктуры будут финансироваться за счет платы за подключение (технологическое присоединение к сетям). В случае реконструкции объектов системы теплоснабжения может также использоваться плата за поддержание резервной тепловой мощности. </w:t>
      </w:r>
    </w:p>
    <w:p>
      <w:pPr>
        <w:tabs>
          <w:tab w:val="left" w:pos="1134"/>
        </w:tabs>
        <w:spacing w:line="360" w:lineRule="auto"/>
        <w:ind w:firstLine="567"/>
        <w:jc w:val="both"/>
        <w:rPr>
          <w:color w:val="000000"/>
          <w:sz w:val="28"/>
          <w:szCs w:val="28"/>
        </w:rPr>
      </w:pPr>
      <w:r>
        <w:rPr>
          <w:color w:val="000000"/>
          <w:sz w:val="28"/>
          <w:szCs w:val="28"/>
        </w:rPr>
        <w:t>Плата за подключение (технологическое присоединение) к системе теплоснабжения устанавливается единой на весь рассматриваемый период и рассчитывается по следующей формуле:</w:t>
      </w:r>
    </w:p>
    <w:p>
      <w:pPr>
        <w:tabs>
          <w:tab w:val="left" w:pos="1134"/>
        </w:tabs>
        <w:spacing w:line="360" w:lineRule="auto"/>
        <w:ind w:firstLine="709"/>
        <w:jc w:val="both"/>
        <w:rPr>
          <w:color w:val="000000"/>
          <w:sz w:val="28"/>
          <w:szCs w:val="28"/>
        </w:rPr>
      </w:pPr>
      <m:oMath>
        <m:r>
          <w:rPr>
            <w:rFonts w:ascii="Cambria Math" w:hAnsi="Cambria Math"/>
            <w:color w:val="000000"/>
            <w:sz w:val="28"/>
            <w:szCs w:val="28"/>
          </w:rPr>
          <m:t>СС=</m:t>
        </m:r>
        <m:f>
          <m:fPr>
            <m:ctrlPr>
              <w:rPr>
                <w:rFonts w:ascii="Cambria Math" w:hAnsi="Cambria Math"/>
                <w:i/>
                <w:color w:val="000000"/>
                <w:sz w:val="28"/>
                <w:szCs w:val="28"/>
              </w:rPr>
            </m:ctrlPr>
          </m:fPr>
          <m:num>
            <m:nary>
              <m:naryPr>
                <m:chr m:val="∑"/>
                <m:limLoc m:val="undOvr"/>
                <m:ctrlPr>
                  <w:rPr>
                    <w:rFonts w:ascii="Cambria Math" w:hAnsi="Cambria Math"/>
                    <w:i/>
                    <w:color w:val="000000"/>
                    <w:sz w:val="28"/>
                    <w:szCs w:val="28"/>
                  </w:rPr>
                </m:ctrlPr>
              </m:naryPr>
              <m:sub>
                <m:r>
                  <w:rPr>
                    <w:rFonts w:ascii="Cambria Math" w:hAnsi="Cambria Math"/>
                    <w:color w:val="000000"/>
                    <w:sz w:val="28"/>
                    <w:szCs w:val="28"/>
                    <w:lang w:val="en-US"/>
                  </w:rPr>
                  <m:t>i</m:t>
                </m:r>
                <m:r>
                  <w:rPr>
                    <w:rFonts w:ascii="Cambria Math" w:hAnsi="Cambria Math"/>
                    <w:color w:val="000000"/>
                    <w:sz w:val="28"/>
                    <w:szCs w:val="28"/>
                  </w:rPr>
                  <m:t>=1</m:t>
                </m:r>
                <m:ctrlPr>
                  <w:rPr>
                    <w:rFonts w:ascii="Cambria Math" w:hAnsi="Cambria Math"/>
                    <w:i/>
                    <w:color w:val="000000"/>
                    <w:sz w:val="28"/>
                    <w:szCs w:val="28"/>
                  </w:rPr>
                </m:ctrlPr>
              </m:sub>
              <m:sup>
                <m:r>
                  <w:rPr>
                    <w:rFonts w:ascii="Cambria Math" w:hAnsi="Cambria Math"/>
                    <w:color w:val="000000"/>
                    <w:sz w:val="28"/>
                    <w:szCs w:val="28"/>
                  </w:rPr>
                  <m:t>19</m:t>
                </m:r>
                <m:ctrlPr>
                  <w:rPr>
                    <w:rFonts w:ascii="Cambria Math" w:hAnsi="Cambria Math"/>
                    <w:i/>
                    <w:color w:val="000000"/>
                    <w:sz w:val="28"/>
                    <w:szCs w:val="28"/>
                  </w:rPr>
                </m:ctrlPr>
              </m:sup>
              <m:e>
                <m:sSub>
                  <m:sSubPr>
                    <m:ctrlPr>
                      <w:rPr>
                        <w:rFonts w:ascii="Cambria Math" w:hAnsi="Cambria Math"/>
                        <w:i/>
                        <w:color w:val="000000"/>
                        <w:sz w:val="28"/>
                        <w:szCs w:val="28"/>
                      </w:rPr>
                    </m:ctrlPr>
                  </m:sSubPr>
                  <m:e>
                    <m:r>
                      <w:rPr>
                        <w:rFonts w:ascii="Cambria Math" w:hAnsi="Cambria Math"/>
                        <w:color w:val="000000"/>
                        <w:sz w:val="28"/>
                        <w:szCs w:val="28"/>
                      </w:rPr>
                      <m:t>CC</m:t>
                    </m:r>
                    <m:ctrlPr>
                      <w:rPr>
                        <w:rFonts w:ascii="Cambria Math" w:hAnsi="Cambria Math"/>
                        <w:i/>
                        <w:color w:val="000000"/>
                        <w:sz w:val="28"/>
                        <w:szCs w:val="28"/>
                      </w:rPr>
                    </m:ctrlPr>
                  </m:e>
                  <m:sub>
                    <m:r>
                      <w:rPr>
                        <w:rFonts w:ascii="Cambria Math" w:hAnsi="Cambria Math"/>
                        <w:color w:val="000000"/>
                        <w:sz w:val="28"/>
                        <w:szCs w:val="28"/>
                      </w:rPr>
                      <m:t>i</m:t>
                    </m:r>
                    <m:ctrlPr>
                      <w:rPr>
                        <w:rFonts w:ascii="Cambria Math" w:hAnsi="Cambria Math"/>
                        <w:i/>
                        <w:color w:val="000000"/>
                        <w:sz w:val="28"/>
                        <w:szCs w:val="28"/>
                      </w:rPr>
                    </m:ctrlPr>
                  </m:sub>
                </m:sSub>
                <m:ctrlPr>
                  <w:rPr>
                    <w:rFonts w:ascii="Cambria Math" w:hAnsi="Cambria Math"/>
                    <w:i/>
                    <w:color w:val="000000"/>
                    <w:sz w:val="28"/>
                    <w:szCs w:val="28"/>
                  </w:rPr>
                </m:ctrlPr>
              </m:e>
            </m:nary>
            <m:ctrlPr>
              <w:rPr>
                <w:rFonts w:ascii="Cambria Math" w:hAnsi="Cambria Math"/>
                <w:i/>
                <w:color w:val="000000"/>
                <w:sz w:val="28"/>
                <w:szCs w:val="28"/>
              </w:rPr>
            </m:ctrlPr>
          </m:num>
          <m:den>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ctrlPr>
                  <w:rPr>
                    <w:rFonts w:ascii="Cambria Math" w:hAnsi="Cambria Math"/>
                    <w:i/>
                    <w:color w:val="000000"/>
                    <w:sz w:val="28"/>
                    <w:szCs w:val="28"/>
                  </w:rPr>
                </m:ctrlPr>
              </m:sub>
              <m:sup>
                <m:r>
                  <w:rPr>
                    <w:rFonts w:ascii="Cambria Math" w:hAnsi="Cambria Math"/>
                    <w:color w:val="000000"/>
                    <w:sz w:val="28"/>
                    <w:szCs w:val="28"/>
                  </w:rPr>
                  <m:t>19</m:t>
                </m:r>
                <m:ctrlPr>
                  <w:rPr>
                    <w:rFonts w:ascii="Cambria Math" w:hAnsi="Cambria Math"/>
                    <w:i/>
                    <w:color w:val="000000"/>
                    <w:sz w:val="28"/>
                    <w:szCs w:val="28"/>
                  </w:rPr>
                </m:ctrlPr>
              </m:sup>
              <m:e>
                <m:sSub>
                  <m:sSubPr>
                    <m:ctrlPr>
                      <w:rPr>
                        <w:rFonts w:ascii="Cambria Math" w:hAnsi="Cambria Math"/>
                        <w:i/>
                        <w:color w:val="000000"/>
                        <w:sz w:val="28"/>
                        <w:szCs w:val="28"/>
                      </w:rPr>
                    </m:ctrlPr>
                  </m:sSubPr>
                  <m:e>
                    <m:r>
                      <w:rPr>
                        <w:rFonts w:ascii="Cambria Math" w:hAnsi="Cambria Math"/>
                        <w:color w:val="000000"/>
                        <w:sz w:val="28"/>
                        <w:szCs w:val="28"/>
                        <w:lang w:val="en-US"/>
                      </w:rPr>
                      <m:t>H</m:t>
                    </m:r>
                    <m:r>
                      <w:rPr>
                        <w:rFonts w:ascii="Cambria Math" w:hAnsi="Cambria Math"/>
                        <w:color w:val="000000"/>
                        <w:sz w:val="28"/>
                        <w:szCs w:val="28"/>
                      </w:rPr>
                      <m:t>L</m:t>
                    </m:r>
                    <m:ctrlPr>
                      <w:rPr>
                        <w:rFonts w:ascii="Cambria Math" w:hAnsi="Cambria Math"/>
                        <w:i/>
                        <w:color w:val="000000"/>
                        <w:sz w:val="28"/>
                        <w:szCs w:val="28"/>
                      </w:rPr>
                    </m:ctrlPr>
                  </m:e>
                  <m:sub>
                    <m:r>
                      <w:rPr>
                        <w:rFonts w:ascii="Cambria Math" w:hAnsi="Cambria Math"/>
                        <w:color w:val="000000"/>
                        <w:sz w:val="28"/>
                        <w:szCs w:val="28"/>
                      </w:rPr>
                      <m:t>i</m:t>
                    </m:r>
                    <m:ctrlPr>
                      <w:rPr>
                        <w:rFonts w:ascii="Cambria Math" w:hAnsi="Cambria Math"/>
                        <w:i/>
                        <w:color w:val="000000"/>
                        <w:sz w:val="28"/>
                        <w:szCs w:val="28"/>
                      </w:rPr>
                    </m:ctrlPr>
                  </m:sub>
                </m:sSub>
                <m:ctrlPr>
                  <w:rPr>
                    <w:rFonts w:ascii="Cambria Math" w:hAnsi="Cambria Math"/>
                    <w:i/>
                    <w:color w:val="000000"/>
                    <w:sz w:val="28"/>
                    <w:szCs w:val="28"/>
                  </w:rPr>
                </m:ctrlPr>
              </m:e>
            </m:nary>
            <m:ctrlPr>
              <w:rPr>
                <w:rFonts w:ascii="Cambria Math" w:hAnsi="Cambria Math"/>
                <w:i/>
                <w:color w:val="000000"/>
                <w:sz w:val="28"/>
                <w:szCs w:val="28"/>
              </w:rPr>
            </m:ctrlPr>
          </m:den>
        </m:f>
      </m:oMath>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(6-1)</w:t>
      </w:r>
    </w:p>
    <w:p>
      <w:pPr>
        <w:tabs>
          <w:tab w:val="left" w:pos="1134"/>
        </w:tabs>
        <w:spacing w:line="276" w:lineRule="auto"/>
        <w:ind w:firstLine="567"/>
        <w:jc w:val="both"/>
        <w:rPr>
          <w:color w:val="000000"/>
          <w:sz w:val="28"/>
          <w:szCs w:val="28"/>
        </w:rPr>
      </w:pPr>
      <w:r>
        <w:rPr>
          <w:color w:val="000000"/>
          <w:sz w:val="28"/>
          <w:szCs w:val="28"/>
        </w:rPr>
        <w:t>где:</w:t>
      </w:r>
    </w:p>
    <w:p>
      <w:pPr>
        <w:tabs>
          <w:tab w:val="left" w:pos="1134"/>
        </w:tabs>
        <w:spacing w:line="360" w:lineRule="auto"/>
        <w:ind w:left="567" w:firstLine="567"/>
        <w:jc w:val="both"/>
        <w:rPr>
          <w:color w:val="000000"/>
          <w:sz w:val="28"/>
          <w:szCs w:val="28"/>
        </w:rPr>
      </w:pPr>
      <m:oMath>
        <m:r>
          <w:rPr>
            <w:rFonts w:ascii="Cambria Math" w:hAnsi="Cambria Math"/>
            <w:color w:val="000000"/>
            <w:sz w:val="28"/>
            <w:szCs w:val="28"/>
          </w:rPr>
          <m:t>CC</m:t>
        </m:r>
      </m:oMath>
      <w:r>
        <w:rPr>
          <w:color w:val="000000"/>
          <w:sz w:val="28"/>
          <w:szCs w:val="28"/>
        </w:rPr>
        <w:t xml:space="preserve"> – плата за подключение в </w:t>
      </w:r>
      <w:r>
        <w:rPr>
          <w:i/>
          <w:color w:val="000000"/>
          <w:sz w:val="28"/>
          <w:szCs w:val="28"/>
        </w:rPr>
        <w:t xml:space="preserve">i-ый </w:t>
      </w:r>
      <w:r>
        <w:rPr>
          <w:color w:val="000000"/>
          <w:sz w:val="28"/>
          <w:szCs w:val="28"/>
        </w:rPr>
        <w:t>год (тыс. руб.);</w:t>
      </w:r>
    </w:p>
    <w:p>
      <w:pPr>
        <w:tabs>
          <w:tab w:val="left" w:pos="1134"/>
        </w:tabs>
        <w:spacing w:line="360" w:lineRule="auto"/>
        <w:ind w:left="567" w:firstLine="567"/>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CC</m:t>
            </m:r>
            <m:ctrlPr>
              <w:rPr>
                <w:rFonts w:ascii="Cambria Math" w:hAnsi="Cambria Math"/>
                <w:i/>
                <w:color w:val="000000"/>
                <w:sz w:val="28"/>
                <w:szCs w:val="28"/>
              </w:rPr>
            </m:ctrlPr>
          </m:e>
          <m:sub>
            <m:r>
              <w:rPr>
                <w:rFonts w:ascii="Cambria Math" w:hAnsi="Cambria Math"/>
                <w:color w:val="000000"/>
                <w:sz w:val="28"/>
                <w:szCs w:val="28"/>
              </w:rPr>
              <m:t>i</m:t>
            </m:r>
            <m:ctrlPr>
              <w:rPr>
                <w:rFonts w:ascii="Cambria Math" w:hAnsi="Cambria Math"/>
                <w:i/>
                <w:color w:val="000000"/>
                <w:sz w:val="28"/>
                <w:szCs w:val="28"/>
              </w:rPr>
            </m:ctrlPr>
          </m:sub>
        </m:sSub>
      </m:oMath>
      <w:r>
        <w:rPr>
          <w:color w:val="000000"/>
          <w:sz w:val="28"/>
          <w:szCs w:val="28"/>
        </w:rPr>
        <w:t xml:space="preserve"> – капитальные затраты на подключение в </w:t>
      </w:r>
      <w:r>
        <w:rPr>
          <w:i/>
          <w:color w:val="000000"/>
          <w:sz w:val="28"/>
          <w:szCs w:val="28"/>
        </w:rPr>
        <w:t xml:space="preserve">i-ый </w:t>
      </w:r>
      <w:r>
        <w:rPr>
          <w:color w:val="000000"/>
          <w:sz w:val="28"/>
          <w:szCs w:val="28"/>
        </w:rPr>
        <w:t>год (тыс. руб.);</w:t>
      </w:r>
    </w:p>
    <w:p>
      <w:pPr>
        <w:tabs>
          <w:tab w:val="left" w:pos="1134"/>
        </w:tabs>
        <w:spacing w:line="360" w:lineRule="auto"/>
        <w:ind w:left="567" w:firstLine="567"/>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HL</m:t>
            </m:r>
            <m:ctrlPr>
              <w:rPr>
                <w:rFonts w:ascii="Cambria Math" w:hAnsi="Cambria Math"/>
                <w:i/>
                <w:color w:val="000000"/>
                <w:sz w:val="28"/>
                <w:szCs w:val="28"/>
              </w:rPr>
            </m:ctrlPr>
          </m:e>
          <m:sub>
            <m:r>
              <w:rPr>
                <w:rFonts w:ascii="Cambria Math" w:hAnsi="Cambria Math"/>
                <w:color w:val="000000"/>
                <w:sz w:val="28"/>
                <w:szCs w:val="28"/>
              </w:rPr>
              <m:t>i</m:t>
            </m:r>
            <m:ctrlPr>
              <w:rPr>
                <w:rFonts w:ascii="Cambria Math" w:hAnsi="Cambria Math"/>
                <w:i/>
                <w:color w:val="000000"/>
                <w:sz w:val="28"/>
                <w:szCs w:val="28"/>
              </w:rPr>
            </m:ctrlPr>
          </m:sub>
        </m:sSub>
      </m:oMath>
      <w:r>
        <w:rPr>
          <w:color w:val="000000"/>
          <w:sz w:val="28"/>
          <w:szCs w:val="28"/>
        </w:rPr>
        <w:t xml:space="preserve">– подключаемая тепловая нагрузка в </w:t>
      </w:r>
      <w:r>
        <w:rPr>
          <w:i/>
          <w:color w:val="000000"/>
          <w:sz w:val="28"/>
          <w:szCs w:val="28"/>
        </w:rPr>
        <w:t xml:space="preserve">i-ый </w:t>
      </w:r>
      <w:r>
        <w:rPr>
          <w:color w:val="000000"/>
          <w:sz w:val="28"/>
          <w:szCs w:val="28"/>
        </w:rPr>
        <w:t>год (Гкал/ч, МВт);</w:t>
      </w:r>
    </w:p>
    <w:p>
      <w:pPr>
        <w:spacing w:line="360" w:lineRule="auto"/>
        <w:ind w:firstLine="567"/>
        <w:jc w:val="both"/>
        <w:rPr>
          <w:color w:val="000000"/>
          <w:sz w:val="28"/>
          <w:szCs w:val="28"/>
        </w:rPr>
      </w:pPr>
      <w:r>
        <w:rPr>
          <w:color w:val="000000"/>
          <w:sz w:val="28"/>
          <w:szCs w:val="28"/>
        </w:rPr>
        <w:t xml:space="preserve">19 – срок реализации настоящей Программы, лет. </w:t>
      </w:r>
    </w:p>
    <w:p>
      <w:pPr>
        <w:spacing w:line="360" w:lineRule="auto"/>
        <w:ind w:firstLine="567"/>
        <w:jc w:val="both"/>
        <w:rPr>
          <w:color w:val="000000"/>
          <w:sz w:val="28"/>
          <w:szCs w:val="28"/>
        </w:rPr>
      </w:pPr>
      <w:r>
        <w:rPr>
          <w:color w:val="000000"/>
          <w:sz w:val="28"/>
          <w:szCs w:val="28"/>
        </w:rPr>
        <w:t xml:space="preserve">Плата за подключение (технологическое присоединение) к сетям водоснабжения и водоотведения была рассчитана в соответствии с требованиями раздела X Методических указаний по расчету регулируемых тарифов в сфере водоснабжения и водоотведения, утвержденных приказом ФСТ России от 27.12.2013 г. № 1746-э. </w:t>
      </w:r>
    </w:p>
    <w:p>
      <w:pPr>
        <w:spacing w:line="360" w:lineRule="auto"/>
        <w:ind w:firstLine="567"/>
        <w:jc w:val="both"/>
        <w:rPr>
          <w:color w:val="000000"/>
          <w:sz w:val="28"/>
          <w:szCs w:val="28"/>
        </w:rPr>
      </w:pPr>
      <w:r>
        <w:rPr>
          <w:color w:val="000000"/>
          <w:sz w:val="28"/>
          <w:szCs w:val="28"/>
        </w:rPr>
        <w:t>При определении платы за подключение к сетям водоснабжения и водоотведения и тарифа за протяженность сети было принято допущение, что нагрузки каждого из подключаемых объектов капитального строительства не превышают 10 куб. м./час.</w:t>
      </w:r>
    </w:p>
    <w:p>
      <w:pPr>
        <w:spacing w:line="360" w:lineRule="auto"/>
        <w:ind w:firstLine="567"/>
        <w:jc w:val="both"/>
        <w:rPr>
          <w:color w:val="000000"/>
          <w:spacing w:val="-2"/>
          <w:sz w:val="28"/>
          <w:szCs w:val="28"/>
        </w:rPr>
      </w:pPr>
      <w:r>
        <w:rPr>
          <w:color w:val="000000"/>
          <w:spacing w:val="-2"/>
          <w:sz w:val="28"/>
          <w:szCs w:val="28"/>
        </w:rPr>
        <w:t xml:space="preserve">Плата за подключение (технологическое присоединение) к электрическим сетям рассчитана в соответствии с требованиями Методических указаний по определению размера платы за технологическое присоединение к электрическим сетям, утвержденных приказом ФСТ России от 11.09.2012 г. № 209-э/1. </w:t>
      </w:r>
    </w:p>
    <w:p>
      <w:pPr>
        <w:autoSpaceDE w:val="0"/>
        <w:autoSpaceDN w:val="0"/>
        <w:adjustRightInd w:val="0"/>
        <w:spacing w:line="360" w:lineRule="auto"/>
        <w:ind w:firstLine="567"/>
        <w:jc w:val="both"/>
        <w:rPr>
          <w:color w:val="000000"/>
        </w:rPr>
      </w:pPr>
      <w:r>
        <w:rPr>
          <w:color w:val="000000"/>
          <w:spacing w:val="-2"/>
          <w:sz w:val="28"/>
          <w:szCs w:val="28"/>
        </w:rPr>
        <w:t xml:space="preserve">Прогнозируемые значения тарифов и платы за технологическое присоединение представлены в Приложении 7 </w:t>
      </w:r>
      <w:r>
        <w:rPr>
          <w:color w:val="000000"/>
          <w:sz w:val="28"/>
          <w:szCs w:val="28"/>
        </w:rPr>
        <w:t>к тому 2 «Обосновывающие материалы к Програмному документу»</w:t>
      </w:r>
      <w:r>
        <w:rPr>
          <w:color w:val="000000"/>
          <w:spacing w:val="-2"/>
          <w:sz w:val="28"/>
          <w:szCs w:val="28"/>
        </w:rPr>
        <w:t xml:space="preserve">.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55" w:name="_Toc21015072"/>
      <w:r>
        <w:rPr>
          <w:rFonts w:ascii="Times New Roman" w:hAnsi="Times New Roman"/>
          <w:i w:val="0"/>
          <w:color w:val="000000"/>
          <w:sz w:val="30"/>
          <w:szCs w:val="30"/>
        </w:rPr>
        <w:t>Проверка доступности тарифов на коммунальные услуги</w:t>
      </w:r>
      <w:bookmarkEnd w:id="55"/>
      <w:r>
        <w:rPr>
          <w:rFonts w:ascii="Times New Roman" w:hAnsi="Times New Roman"/>
          <w:i w:val="0"/>
          <w:color w:val="000000"/>
          <w:sz w:val="30"/>
          <w:szCs w:val="30"/>
        </w:rPr>
        <w:t xml:space="preserve">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Проверка позволяет определить доступность коммунальных ресурсов для основных потребителей – населения и бюджета муниципального образования.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В качестве критериев экономической доступности настоящей Программы в контексте расходов населения могут выступать следующие показатели:</w:t>
      </w:r>
    </w:p>
    <w:p>
      <w:pPr>
        <w:pStyle w:val="154"/>
        <w:numPr>
          <w:ilvl w:val="0"/>
          <w:numId w:val="60"/>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доля расходов на коммунальные услуги в среднем доходе населения не превышает 7%;</w:t>
      </w:r>
    </w:p>
    <w:p>
      <w:pPr>
        <w:pStyle w:val="154"/>
        <w:numPr>
          <w:ilvl w:val="0"/>
          <w:numId w:val="60"/>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доля расходов на коммунальные услуги в бюджете прожиточного минимума не превышает 22%;  </w:t>
      </w:r>
    </w:p>
    <w:p>
      <w:pPr>
        <w:pStyle w:val="154"/>
        <w:numPr>
          <w:ilvl w:val="0"/>
          <w:numId w:val="60"/>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уровень собираемости по всем жилищно-коммунальным услугам не ниже 95%.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Значения критериев экономической доступности жилищно-коммунальных услуг для населения на перспективу до 2029 г. приведены в таблице 6-11 и 6-12.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Отсутствует критерий «доля населения с доходами ниже прожиточного минимума», поскольку данные базового года не были предоставлены в распоряжение ООО «ЦТЭС» и в принципе такая статистика на уровне муниципального образования не ведется.  </w:t>
      </w:r>
    </w:p>
    <w:p>
      <w:pPr>
        <w:pStyle w:val="71"/>
        <w:spacing w:before="0" w:beforeAutospacing="0" w:after="0" w:afterAutospacing="0" w:line="360" w:lineRule="auto"/>
        <w:ind w:right="140"/>
        <w:jc w:val="both"/>
        <w:rPr>
          <w:b/>
          <w:color w:val="000000"/>
          <w:sz w:val="28"/>
          <w:szCs w:val="28"/>
        </w:rPr>
      </w:pPr>
      <w:r>
        <w:rPr>
          <w:b/>
          <w:color w:val="000000"/>
          <w:sz w:val="28"/>
          <w:szCs w:val="28"/>
        </w:rPr>
        <w:t>Таблица 6-11. Показатели экономической доступности коммунальных услуг для населения</w:t>
      </w:r>
    </w:p>
    <w:tbl>
      <w:tblPr>
        <w:tblStyle w:val="100"/>
        <w:tblW w:w="9072" w:type="dxa"/>
        <w:tblInd w:w="-5" w:type="dxa"/>
        <w:tblLayout w:type="fixed"/>
        <w:tblCellMar>
          <w:top w:w="0" w:type="dxa"/>
          <w:left w:w="108" w:type="dxa"/>
          <w:bottom w:w="0" w:type="dxa"/>
          <w:right w:w="108" w:type="dxa"/>
        </w:tblCellMar>
      </w:tblPr>
      <w:tblGrid>
        <w:gridCol w:w="3544"/>
        <w:gridCol w:w="789"/>
        <w:gridCol w:w="790"/>
        <w:gridCol w:w="790"/>
        <w:gridCol w:w="789"/>
        <w:gridCol w:w="790"/>
        <w:gridCol w:w="790"/>
        <w:gridCol w:w="790"/>
      </w:tblGrid>
      <w:tr>
        <w:tblPrEx>
          <w:tblLayout w:type="fixed"/>
          <w:tblCellMar>
            <w:top w:w="0" w:type="dxa"/>
            <w:left w:w="108" w:type="dxa"/>
            <w:bottom w:w="0" w:type="dxa"/>
            <w:right w:w="108" w:type="dxa"/>
          </w:tblCellMar>
        </w:tblPrEx>
        <w:trPr>
          <w:trHeight w:val="255" w:hRule="atLeast"/>
          <w:tblHeader/>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8" w:firstLineChars="14"/>
              <w:jc w:val="center"/>
              <w:rPr>
                <w:b/>
                <w:sz w:val="20"/>
                <w:szCs w:val="20"/>
              </w:rPr>
            </w:pPr>
            <w:r>
              <w:rPr>
                <w:b/>
                <w:sz w:val="20"/>
                <w:szCs w:val="20"/>
              </w:rPr>
              <w:t>Показатели</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2018</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2019</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2020</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2021</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2022</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2023</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b/>
                <w:sz w:val="20"/>
                <w:szCs w:val="20"/>
              </w:rPr>
              <w:t>2028</w:t>
            </w:r>
          </w:p>
        </w:tc>
      </w:tr>
      <w:tr>
        <w:tblPrEx>
          <w:tblLayout w:type="fixed"/>
          <w:tblCellMar>
            <w:top w:w="0" w:type="dxa"/>
            <w:left w:w="108" w:type="dxa"/>
            <w:bottom w:w="0" w:type="dxa"/>
            <w:right w:w="108" w:type="dxa"/>
          </w:tblCellMar>
        </w:tblPrEx>
        <w:trPr>
          <w:trHeight w:val="255"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8" w:firstLineChars="14"/>
              <w:rPr>
                <w:sz w:val="20"/>
                <w:szCs w:val="20"/>
              </w:rPr>
            </w:pPr>
            <w:r>
              <w:rPr>
                <w:sz w:val="20"/>
                <w:szCs w:val="20"/>
              </w:rPr>
              <w:t>Доля расходов на ЖКУ в совокупном доходе средней семьи</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6,4%</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6,3%</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6,4%</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6,5%</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6,6%</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6,6%</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lang w:val="en-US"/>
                <w14:textFill>
                  <w14:solidFill>
                    <w14:schemeClr w14:val="tx1"/>
                  </w14:solidFill>
                </w14:textFill>
              </w:rPr>
            </w:pPr>
            <w:r>
              <w:rPr>
                <w:bCs/>
                <w:color w:val="000000" w:themeColor="text1"/>
                <w:sz w:val="20"/>
                <w:szCs w:val="20"/>
                <w:lang w:val="en-US"/>
                <w14:textFill>
                  <w14:solidFill>
                    <w14:schemeClr w14:val="tx1"/>
                  </w14:solidFill>
                </w14:textFill>
              </w:rPr>
              <w:t>6,8%</w:t>
            </w:r>
          </w:p>
        </w:tc>
      </w:tr>
      <w:tr>
        <w:tblPrEx>
          <w:tblLayout w:type="fixed"/>
          <w:tblCellMar>
            <w:top w:w="0" w:type="dxa"/>
            <w:left w:w="108" w:type="dxa"/>
            <w:bottom w:w="0" w:type="dxa"/>
            <w:right w:w="108" w:type="dxa"/>
          </w:tblCellMar>
        </w:tblPrEx>
        <w:trPr>
          <w:trHeight w:val="205" w:hRule="atLeast"/>
        </w:trPr>
        <w:tc>
          <w:tcPr>
            <w:tcW w:w="3544" w:type="dxa"/>
            <w:tcBorders>
              <w:top w:val="nil"/>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Доля населения с доходами ниже прожиточного минимума</w:t>
            </w:r>
          </w:p>
        </w:tc>
        <w:tc>
          <w:tcPr>
            <w:tcW w:w="789"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90"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90"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89"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90" w:type="dxa"/>
            <w:tcBorders>
              <w:top w:val="nil"/>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90" w:type="dxa"/>
            <w:tcBorders>
              <w:top w:val="single" w:color="auto" w:sz="4" w:space="0"/>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c>
          <w:tcPr>
            <w:tcW w:w="790" w:type="dxa"/>
            <w:tcBorders>
              <w:top w:val="nil"/>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н/д</w:t>
            </w:r>
          </w:p>
        </w:tc>
      </w:tr>
      <w:tr>
        <w:tblPrEx>
          <w:tblLayout w:type="fixed"/>
          <w:tblCellMar>
            <w:top w:w="0" w:type="dxa"/>
            <w:left w:w="108" w:type="dxa"/>
            <w:bottom w:w="0" w:type="dxa"/>
            <w:right w:w="108" w:type="dxa"/>
          </w:tblCellMar>
        </w:tblPrEx>
        <w:trPr>
          <w:trHeight w:val="327"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Уровень собираемости платежей за коммунальные услуги</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20"/>
                <w:szCs w:val="20"/>
              </w:rPr>
            </w:pPr>
            <w:r>
              <w:rPr>
                <w:bCs/>
                <w:sz w:val="20"/>
                <w:szCs w:val="20"/>
              </w:rPr>
              <w:t>95,8%</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20"/>
                <w:szCs w:val="20"/>
              </w:rPr>
            </w:pPr>
            <w:r>
              <w:rPr>
                <w:bCs/>
                <w:sz w:val="20"/>
                <w:szCs w:val="20"/>
              </w:rPr>
              <w:t>95,7%</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20"/>
                <w:szCs w:val="20"/>
              </w:rPr>
            </w:pPr>
            <w:r>
              <w:rPr>
                <w:bCs/>
                <w:sz w:val="20"/>
                <w:szCs w:val="20"/>
              </w:rPr>
              <w:t>95,6%</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20"/>
                <w:szCs w:val="20"/>
              </w:rPr>
            </w:pPr>
            <w:r>
              <w:rPr>
                <w:bCs/>
                <w:sz w:val="20"/>
                <w:szCs w:val="20"/>
              </w:rPr>
              <w:t>95,5%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sz w:val="20"/>
                <w:szCs w:val="20"/>
              </w:rPr>
            </w:pPr>
            <w:r>
              <w:rPr>
                <w:bCs/>
                <w:sz w:val="20"/>
                <w:szCs w:val="20"/>
              </w:rPr>
              <w:t>95,4%</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sz w:val="20"/>
                <w:szCs w:val="20"/>
              </w:rPr>
            </w:pPr>
            <w:r>
              <w:rPr>
                <w:bCs/>
                <w:sz w:val="20"/>
                <w:szCs w:val="20"/>
              </w:rPr>
              <w:t>95,4%</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lang w:val="en-US"/>
              </w:rPr>
            </w:pPr>
            <w:r>
              <w:rPr>
                <w:sz w:val="20"/>
                <w:szCs w:val="20"/>
              </w:rPr>
              <w:t>95,</w:t>
            </w:r>
            <w:r>
              <w:rPr>
                <w:sz w:val="20"/>
                <w:szCs w:val="20"/>
                <w:lang w:val="en-US"/>
              </w:rPr>
              <w:t>2%</w:t>
            </w:r>
          </w:p>
        </w:tc>
      </w:tr>
      <w:tr>
        <w:tblPrEx>
          <w:tblLayout w:type="fixed"/>
          <w:tblCellMar>
            <w:top w:w="0" w:type="dxa"/>
            <w:left w:w="108" w:type="dxa"/>
            <w:bottom w:w="0" w:type="dxa"/>
            <w:right w:w="108" w:type="dxa"/>
          </w:tblCellMar>
        </w:tblPrEx>
        <w:trPr>
          <w:trHeight w:val="327"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Доля получателей субсидий на оплату коммунальных услуг в общей численности населения</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2,35%</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2,37%</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2,41%</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2,43%</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2,44%</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2,44%</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2,47%</w:t>
            </w:r>
          </w:p>
        </w:tc>
      </w:tr>
    </w:tbl>
    <w:p>
      <w:pPr>
        <w:autoSpaceDE w:val="0"/>
        <w:autoSpaceDN w:val="0"/>
        <w:adjustRightInd w:val="0"/>
        <w:spacing w:line="360" w:lineRule="auto"/>
        <w:ind w:firstLine="708"/>
        <w:jc w:val="both"/>
        <w:rPr>
          <w:color w:val="000000"/>
          <w:spacing w:val="-2"/>
          <w:sz w:val="28"/>
          <w:szCs w:val="28"/>
        </w:rPr>
      </w:pPr>
      <w:r>
        <w:rPr>
          <w:color w:val="000000"/>
          <w:sz w:val="20"/>
          <w:szCs w:val="20"/>
        </w:rPr>
        <w:t>Источник: оценки ООО «ЦТЭС».</w:t>
      </w:r>
    </w:p>
    <w:p>
      <w:pPr>
        <w:autoSpaceDE w:val="0"/>
        <w:autoSpaceDN w:val="0"/>
        <w:adjustRightInd w:val="0"/>
        <w:spacing w:line="360" w:lineRule="auto"/>
        <w:ind w:firstLine="567"/>
        <w:jc w:val="both"/>
        <w:rPr>
          <w:color w:val="000000"/>
          <w:spacing w:val="-2"/>
          <w:sz w:val="28"/>
          <w:szCs w:val="28"/>
        </w:rPr>
      </w:pP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Анализ доступности проводится в соответствии с Приложением 2 Методических указаний (см. таблицу 6-12). </w:t>
      </w:r>
    </w:p>
    <w:p>
      <w:pPr>
        <w:autoSpaceDE w:val="0"/>
        <w:autoSpaceDN w:val="0"/>
        <w:adjustRightInd w:val="0"/>
        <w:spacing w:line="360" w:lineRule="auto"/>
        <w:jc w:val="both"/>
        <w:rPr>
          <w:b/>
          <w:color w:val="000000"/>
          <w:spacing w:val="-2"/>
          <w:sz w:val="28"/>
          <w:szCs w:val="28"/>
        </w:rPr>
      </w:pPr>
      <w:r>
        <w:rPr>
          <w:b/>
          <w:color w:val="000000"/>
          <w:spacing w:val="-2"/>
          <w:sz w:val="28"/>
          <w:szCs w:val="28"/>
        </w:rPr>
        <w:t xml:space="preserve">Таблица 6-12. Значения критериев доступности для населения платы за жилищно-коммунальные услуги </w:t>
      </w:r>
    </w:p>
    <w:tbl>
      <w:tblPr>
        <w:tblStyle w:val="100"/>
        <w:tblW w:w="9072" w:type="dxa"/>
        <w:tblInd w:w="-5" w:type="dxa"/>
        <w:tblLayout w:type="fixed"/>
        <w:tblCellMar>
          <w:top w:w="0" w:type="dxa"/>
          <w:left w:w="108" w:type="dxa"/>
          <w:bottom w:w="0" w:type="dxa"/>
          <w:right w:w="108" w:type="dxa"/>
        </w:tblCellMar>
      </w:tblPr>
      <w:tblGrid>
        <w:gridCol w:w="3544"/>
        <w:gridCol w:w="789"/>
        <w:gridCol w:w="790"/>
        <w:gridCol w:w="790"/>
        <w:gridCol w:w="789"/>
        <w:gridCol w:w="790"/>
        <w:gridCol w:w="790"/>
        <w:gridCol w:w="790"/>
      </w:tblGrid>
      <w:tr>
        <w:tblPrEx>
          <w:tblLayout w:type="fixed"/>
          <w:tblCellMar>
            <w:top w:w="0" w:type="dxa"/>
            <w:left w:w="108" w:type="dxa"/>
            <w:bottom w:w="0" w:type="dxa"/>
            <w:right w:w="108" w:type="dxa"/>
          </w:tblCellMar>
        </w:tblPrEx>
        <w:trPr>
          <w:trHeight w:val="255" w:hRule="atLeast"/>
          <w:tblHeader/>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38" w:firstLineChars="14"/>
              <w:jc w:val="center"/>
              <w:rPr>
                <w:b/>
                <w:sz w:val="20"/>
                <w:szCs w:val="20"/>
              </w:rPr>
            </w:pPr>
            <w:r>
              <w:rPr>
                <w:color w:val="000000"/>
                <w:spacing w:val="-2"/>
                <w:sz w:val="28"/>
                <w:szCs w:val="28"/>
              </w:rPr>
              <w:t xml:space="preserve"> </w:t>
            </w:r>
            <w:r>
              <w:rPr>
                <w:b/>
                <w:sz w:val="20"/>
                <w:szCs w:val="20"/>
              </w:rPr>
              <w:t>Показатели</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2017</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2018</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2019</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2020</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2021</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2026</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b/>
                <w:sz w:val="20"/>
                <w:szCs w:val="20"/>
              </w:rPr>
              <w:t>2031</w:t>
            </w:r>
          </w:p>
        </w:tc>
      </w:tr>
      <w:tr>
        <w:tblPrEx>
          <w:tblLayout w:type="fixed"/>
          <w:tblCellMar>
            <w:top w:w="0" w:type="dxa"/>
            <w:left w:w="108" w:type="dxa"/>
            <w:bottom w:w="0" w:type="dxa"/>
            <w:right w:w="108" w:type="dxa"/>
          </w:tblCellMar>
        </w:tblPrEx>
        <w:trPr>
          <w:trHeight w:val="255"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8" w:firstLineChars="14"/>
              <w:rPr>
                <w:sz w:val="20"/>
                <w:szCs w:val="20"/>
              </w:rPr>
            </w:pPr>
            <w:r>
              <w:rPr>
                <w:sz w:val="20"/>
                <w:szCs w:val="20"/>
              </w:rPr>
              <w:t>Доля расходов на коммунальные услуги в совокупном доходе средней семьи</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Д</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r>
      <w:tr>
        <w:tblPrEx>
          <w:tblLayout w:type="fixed"/>
          <w:tblCellMar>
            <w:top w:w="0" w:type="dxa"/>
            <w:left w:w="108" w:type="dxa"/>
            <w:bottom w:w="0" w:type="dxa"/>
            <w:right w:w="108" w:type="dxa"/>
          </w:tblCellMar>
        </w:tblPrEx>
        <w:trPr>
          <w:trHeight w:val="205" w:hRule="atLeast"/>
        </w:trPr>
        <w:tc>
          <w:tcPr>
            <w:tcW w:w="3544" w:type="dxa"/>
            <w:tcBorders>
              <w:top w:val="nil"/>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Доля населения с доходами ниже прожиточного минимума</w:t>
            </w:r>
          </w:p>
        </w:tc>
        <w:tc>
          <w:tcPr>
            <w:tcW w:w="789"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н/о</w:t>
            </w:r>
          </w:p>
        </w:tc>
        <w:tc>
          <w:tcPr>
            <w:tcW w:w="790" w:type="dxa"/>
            <w:tcBorders>
              <w:top w:val="nil"/>
              <w:left w:val="nil"/>
              <w:bottom w:val="single" w:color="auto" w:sz="4" w:space="0"/>
              <w:right w:val="single" w:color="auto" w:sz="4" w:space="0"/>
            </w:tcBorders>
            <w:shd w:val="clear" w:color="auto" w:fill="auto"/>
            <w:vAlign w:val="center"/>
          </w:tcPr>
          <w:p>
            <w:pPr>
              <w:jc w:val="center"/>
            </w:pPr>
            <w:r>
              <w:rPr>
                <w:bCs/>
                <w:color w:val="000000" w:themeColor="text1"/>
                <w:sz w:val="20"/>
                <w:szCs w:val="20"/>
                <w14:textFill>
                  <w14:solidFill>
                    <w14:schemeClr w14:val="tx1"/>
                  </w14:solidFill>
                </w14:textFill>
              </w:rPr>
              <w:t>н/о</w:t>
            </w:r>
          </w:p>
        </w:tc>
        <w:tc>
          <w:tcPr>
            <w:tcW w:w="790" w:type="dxa"/>
            <w:tcBorders>
              <w:top w:val="nil"/>
              <w:left w:val="nil"/>
              <w:bottom w:val="single" w:color="auto" w:sz="4" w:space="0"/>
              <w:right w:val="single" w:color="auto" w:sz="4" w:space="0"/>
            </w:tcBorders>
            <w:shd w:val="clear" w:color="auto" w:fill="auto"/>
            <w:vAlign w:val="center"/>
          </w:tcPr>
          <w:p>
            <w:pPr>
              <w:jc w:val="center"/>
            </w:pPr>
            <w:r>
              <w:rPr>
                <w:bCs/>
                <w:color w:val="000000" w:themeColor="text1"/>
                <w:sz w:val="20"/>
                <w:szCs w:val="20"/>
                <w14:textFill>
                  <w14:solidFill>
                    <w14:schemeClr w14:val="tx1"/>
                  </w14:solidFill>
                </w14:textFill>
              </w:rPr>
              <w:t>н/о</w:t>
            </w:r>
          </w:p>
        </w:tc>
        <w:tc>
          <w:tcPr>
            <w:tcW w:w="789" w:type="dxa"/>
            <w:tcBorders>
              <w:top w:val="nil"/>
              <w:left w:val="nil"/>
              <w:bottom w:val="single" w:color="auto" w:sz="4" w:space="0"/>
              <w:right w:val="single" w:color="auto" w:sz="4" w:space="0"/>
            </w:tcBorders>
            <w:shd w:val="clear" w:color="auto" w:fill="auto"/>
            <w:vAlign w:val="center"/>
          </w:tcPr>
          <w:p>
            <w:pPr>
              <w:jc w:val="center"/>
            </w:pPr>
            <w:r>
              <w:rPr>
                <w:bCs/>
                <w:color w:val="000000" w:themeColor="text1"/>
                <w:sz w:val="20"/>
                <w:szCs w:val="20"/>
                <w14:textFill>
                  <w14:solidFill>
                    <w14:schemeClr w14:val="tx1"/>
                  </w14:solidFill>
                </w14:textFill>
              </w:rPr>
              <w:t>н/о</w:t>
            </w:r>
          </w:p>
        </w:tc>
        <w:tc>
          <w:tcPr>
            <w:tcW w:w="790" w:type="dxa"/>
            <w:tcBorders>
              <w:top w:val="nil"/>
              <w:left w:val="nil"/>
              <w:bottom w:val="single" w:color="auto" w:sz="4" w:space="0"/>
              <w:right w:val="single" w:color="auto" w:sz="4" w:space="0"/>
            </w:tcBorders>
            <w:vAlign w:val="center"/>
          </w:tcPr>
          <w:p>
            <w:pPr>
              <w:jc w:val="center"/>
            </w:pPr>
            <w:r>
              <w:rPr>
                <w:bCs/>
                <w:color w:val="000000" w:themeColor="text1"/>
                <w:sz w:val="20"/>
                <w:szCs w:val="20"/>
                <w14:textFill>
                  <w14:solidFill>
                    <w14:schemeClr w14:val="tx1"/>
                  </w14:solidFill>
                </w14:textFill>
              </w:rPr>
              <w:t>н/о</w:t>
            </w:r>
          </w:p>
        </w:tc>
        <w:tc>
          <w:tcPr>
            <w:tcW w:w="790" w:type="dxa"/>
            <w:tcBorders>
              <w:top w:val="single" w:color="auto" w:sz="4" w:space="0"/>
              <w:left w:val="nil"/>
              <w:bottom w:val="single" w:color="auto" w:sz="4" w:space="0"/>
              <w:right w:val="single" w:color="auto" w:sz="4" w:space="0"/>
            </w:tcBorders>
            <w:vAlign w:val="center"/>
          </w:tcPr>
          <w:p>
            <w:pPr>
              <w:jc w:val="center"/>
            </w:pPr>
            <w:r>
              <w:rPr>
                <w:bCs/>
                <w:color w:val="000000" w:themeColor="text1"/>
                <w:sz w:val="20"/>
                <w:szCs w:val="20"/>
                <w14:textFill>
                  <w14:solidFill>
                    <w14:schemeClr w14:val="tx1"/>
                  </w14:solidFill>
                </w14:textFill>
              </w:rPr>
              <w:t>н/о</w:t>
            </w:r>
          </w:p>
        </w:tc>
        <w:tc>
          <w:tcPr>
            <w:tcW w:w="790" w:type="dxa"/>
            <w:tcBorders>
              <w:top w:val="nil"/>
              <w:left w:val="single" w:color="auto" w:sz="4" w:space="0"/>
              <w:bottom w:val="single" w:color="auto" w:sz="4" w:space="0"/>
              <w:right w:val="single" w:color="auto" w:sz="4" w:space="0"/>
            </w:tcBorders>
            <w:vAlign w:val="center"/>
          </w:tcPr>
          <w:p>
            <w:pPr>
              <w:jc w:val="center"/>
            </w:pPr>
            <w:r>
              <w:rPr>
                <w:bCs/>
                <w:color w:val="000000" w:themeColor="text1"/>
                <w:sz w:val="20"/>
                <w:szCs w:val="20"/>
                <w14:textFill>
                  <w14:solidFill>
                    <w14:schemeClr w14:val="tx1"/>
                  </w14:solidFill>
                </w14:textFill>
              </w:rPr>
              <w:t>н/о</w:t>
            </w:r>
          </w:p>
        </w:tc>
      </w:tr>
      <w:tr>
        <w:tblPrEx>
          <w:tblLayout w:type="fixed"/>
          <w:tblCellMar>
            <w:top w:w="0" w:type="dxa"/>
            <w:left w:w="108" w:type="dxa"/>
            <w:bottom w:w="0" w:type="dxa"/>
            <w:right w:w="108" w:type="dxa"/>
          </w:tblCellMar>
        </w:tblPrEx>
        <w:trPr>
          <w:trHeight w:val="327"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Уровень собираемости платежей за коммунальные услуги</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r>
      <w:tr>
        <w:tblPrEx>
          <w:tblLayout w:type="fixed"/>
          <w:tblCellMar>
            <w:top w:w="0" w:type="dxa"/>
            <w:left w:w="108" w:type="dxa"/>
            <w:bottom w:w="0" w:type="dxa"/>
            <w:right w:w="108" w:type="dxa"/>
          </w:tblCellMar>
        </w:tblPrEx>
        <w:trPr>
          <w:trHeight w:val="327" w:hRule="atLeast"/>
        </w:trPr>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Доля получателей субсидий на оплату коммунальных услуг в общей численности населения</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В</w:t>
            </w:r>
          </w:p>
        </w:tc>
      </w:tr>
    </w:tbl>
    <w:p>
      <w:pPr>
        <w:autoSpaceDE w:val="0"/>
        <w:autoSpaceDN w:val="0"/>
        <w:adjustRightInd w:val="0"/>
        <w:spacing w:before="120" w:line="360" w:lineRule="auto"/>
        <w:jc w:val="both"/>
        <w:rPr>
          <w:color w:val="000000"/>
          <w:spacing w:val="-2"/>
          <w:sz w:val="20"/>
          <w:szCs w:val="20"/>
        </w:rPr>
      </w:pPr>
      <w:r>
        <w:rPr>
          <w:color w:val="000000"/>
          <w:spacing w:val="-2"/>
          <w:sz w:val="20"/>
          <w:szCs w:val="20"/>
        </w:rPr>
        <w:t>В – высокий.</w:t>
      </w:r>
    </w:p>
    <w:p>
      <w:pPr>
        <w:autoSpaceDE w:val="0"/>
        <w:autoSpaceDN w:val="0"/>
        <w:adjustRightInd w:val="0"/>
        <w:spacing w:line="360" w:lineRule="auto"/>
        <w:jc w:val="both"/>
        <w:rPr>
          <w:color w:val="000000"/>
          <w:spacing w:val="-2"/>
          <w:sz w:val="20"/>
          <w:szCs w:val="20"/>
        </w:rPr>
      </w:pPr>
      <w:r>
        <w:rPr>
          <w:color w:val="000000"/>
          <w:spacing w:val="-2"/>
          <w:sz w:val="20"/>
          <w:szCs w:val="20"/>
        </w:rPr>
        <w:t xml:space="preserve">Д – доступный. </w:t>
      </w:r>
    </w:p>
    <w:p>
      <w:pPr>
        <w:autoSpaceDE w:val="0"/>
        <w:autoSpaceDN w:val="0"/>
        <w:adjustRightInd w:val="0"/>
        <w:spacing w:line="360" w:lineRule="auto"/>
        <w:jc w:val="both"/>
        <w:rPr>
          <w:color w:val="000000"/>
          <w:spacing w:val="-2"/>
          <w:sz w:val="20"/>
          <w:szCs w:val="20"/>
        </w:rPr>
      </w:pPr>
      <w:r>
        <w:rPr>
          <w:color w:val="000000"/>
          <w:spacing w:val="-2"/>
          <w:sz w:val="20"/>
          <w:szCs w:val="20"/>
        </w:rPr>
        <w:t xml:space="preserve">Н – недоступный. </w:t>
      </w:r>
    </w:p>
    <w:p>
      <w:pPr>
        <w:autoSpaceDE w:val="0"/>
        <w:autoSpaceDN w:val="0"/>
        <w:adjustRightInd w:val="0"/>
        <w:spacing w:line="360" w:lineRule="auto"/>
        <w:jc w:val="both"/>
        <w:rPr>
          <w:color w:val="000000"/>
        </w:rPr>
      </w:pPr>
      <w:r>
        <w:rPr>
          <w:color w:val="000000"/>
          <w:sz w:val="20"/>
          <w:szCs w:val="20"/>
        </w:rPr>
        <w:t xml:space="preserve">Источник: оценки ООО «ЦТЭС».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Как видно из таблицы по трем критериям доступность для населения платы за жилищно-коммунальные услуги высокая на протяжении всего периода реализации настоящей Программы. Четвертый критерий невозможно оценить по причине непредоставления значения базового года.</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Проводившиеся исследования выявили наличие двух порогов экономической доступности жилищно-коммунальных услуг для населения.</w:t>
      </w:r>
      <w:r>
        <w:rPr>
          <w:rStyle w:val="90"/>
          <w:spacing w:val="-2"/>
          <w:sz w:val="28"/>
          <w:szCs w:val="28"/>
        </w:rPr>
        <w:footnoteReference w:id="2"/>
      </w:r>
      <w:r>
        <w:rPr>
          <w:color w:val="000000"/>
          <w:spacing w:val="-2"/>
          <w:sz w:val="28"/>
          <w:szCs w:val="28"/>
        </w:rPr>
        <w:t xml:space="preserve"> Первый – доля отношения «средний платеж за ЖКУ/среднедушевой доход» – 7%. В случае превышения этого порога платежная дисциплина падает и/или снижается уровень комфорта и чем значительнее «заступ» за порог – тем сильнее такое падение. Второй порог – доля отношения «средний платеж за ЖКУ/величина прожиточного минимума» – варьирует в зависимости от соотношения значений среднедушевого дохода и величины прожиточного минимума, но не может превышать установленный региональный стандарт максимально допустимой доли расходов граждан на оплату жилищно-коммунальных услуг (22%). В случае превышения этих порогов платежная дисциплина начинает заметно снижаться, а расходы бюджета на выплату субсидий населению на оплату жилищно-коммунальных услуг увеличиваются.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Доля расходов на жилищно-коммунальные коммунальные услуги в среднедушевом доходе превышала 7% за исключением 2013 г. (см. таблицу 6-13). Дисциплина по платежам населения за жилищно-коммунальные услуги в рассматриваемый период была немного ниже (за исключением 2013 г.) минимально допустимого уровня (95%) и в 2017 г. в целом составляла 94,5%, в т.ч.: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жилищные услуги – 93,8%;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теплоснабжение – 93,9%;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водоснабжение – 98,1%;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водоотведение – 98,9%;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газоснабжение – 91,1%; </w:t>
      </w:r>
    </w:p>
    <w:p>
      <w:pPr>
        <w:pStyle w:val="154"/>
        <w:numPr>
          <w:ilvl w:val="0"/>
          <w:numId w:val="61"/>
        </w:numPr>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электроснабжение – 94,8%. </w:t>
      </w:r>
    </w:p>
    <w:p>
      <w:pPr>
        <w:pStyle w:val="71"/>
        <w:spacing w:before="0" w:beforeAutospacing="0" w:after="0" w:afterAutospacing="0" w:line="360" w:lineRule="auto"/>
        <w:ind w:right="140"/>
        <w:jc w:val="both"/>
        <w:rPr>
          <w:color w:val="000000"/>
          <w:sz w:val="28"/>
          <w:szCs w:val="28"/>
        </w:rPr>
      </w:pPr>
      <w:r>
        <w:rPr>
          <w:b/>
          <w:color w:val="000000"/>
          <w:sz w:val="28"/>
          <w:szCs w:val="28"/>
        </w:rPr>
        <w:t>Таблица 6-13. Показатели экономической доступности жилищно-коммунальных услуг для населения</w:t>
      </w:r>
    </w:p>
    <w:tbl>
      <w:tblPr>
        <w:tblStyle w:val="100"/>
        <w:tblW w:w="9051" w:type="dxa"/>
        <w:tblInd w:w="0" w:type="dxa"/>
        <w:tblLayout w:type="fixed"/>
        <w:tblCellMar>
          <w:top w:w="0" w:type="dxa"/>
          <w:left w:w="108" w:type="dxa"/>
          <w:bottom w:w="0" w:type="dxa"/>
          <w:right w:w="108" w:type="dxa"/>
        </w:tblCellMar>
      </w:tblPr>
      <w:tblGrid>
        <w:gridCol w:w="4101"/>
        <w:gridCol w:w="1490"/>
        <w:gridCol w:w="692"/>
        <w:gridCol w:w="692"/>
        <w:gridCol w:w="692"/>
        <w:gridCol w:w="692"/>
        <w:gridCol w:w="692"/>
      </w:tblGrid>
      <w:tr>
        <w:tblPrEx>
          <w:tblLayout w:type="fixed"/>
          <w:tblCellMar>
            <w:top w:w="0" w:type="dxa"/>
            <w:left w:w="108" w:type="dxa"/>
            <w:bottom w:w="0" w:type="dxa"/>
            <w:right w:w="108" w:type="dxa"/>
          </w:tblCellMar>
        </w:tblPrEx>
        <w:trPr>
          <w:trHeight w:val="315" w:hRule="atLeast"/>
        </w:trPr>
        <w:tc>
          <w:tcPr>
            <w:tcW w:w="410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Показатели</w:t>
            </w:r>
          </w:p>
        </w:tc>
        <w:tc>
          <w:tcPr>
            <w:tcW w:w="1490"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Ед. изм.</w:t>
            </w:r>
          </w:p>
        </w:tc>
        <w:tc>
          <w:tcPr>
            <w:tcW w:w="692"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2013</w:t>
            </w:r>
          </w:p>
        </w:tc>
        <w:tc>
          <w:tcPr>
            <w:tcW w:w="692"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2014</w:t>
            </w:r>
          </w:p>
        </w:tc>
        <w:tc>
          <w:tcPr>
            <w:tcW w:w="692"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2015</w:t>
            </w:r>
          </w:p>
        </w:tc>
        <w:tc>
          <w:tcPr>
            <w:tcW w:w="692"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2016</w:t>
            </w:r>
          </w:p>
        </w:tc>
        <w:tc>
          <w:tcPr>
            <w:tcW w:w="692"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2017</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b/>
                <w:bCs/>
                <w:i/>
                <w:iCs/>
                <w:color w:val="000000"/>
                <w:sz w:val="20"/>
                <w:szCs w:val="20"/>
              </w:rPr>
            </w:pPr>
            <w:r>
              <w:rPr>
                <w:b/>
                <w:bCs/>
                <w:i/>
                <w:iCs/>
                <w:color w:val="000000"/>
                <w:sz w:val="20"/>
                <w:szCs w:val="20"/>
              </w:rPr>
              <w:t>Всего за ЖКУ</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b/>
                <w:bCs/>
                <w:color w:val="000000"/>
                <w:sz w:val="20"/>
                <w:szCs w:val="20"/>
              </w:rPr>
            </w:pPr>
            <w:r>
              <w:rPr>
                <w:b/>
                <w:bCs/>
                <w:color w:val="000000"/>
                <w:sz w:val="20"/>
                <w:szCs w:val="20"/>
              </w:rPr>
              <w:t>начислено, в т.ч.:</w:t>
            </w:r>
          </w:p>
        </w:tc>
        <w:tc>
          <w:tcPr>
            <w:tcW w:w="1490"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 xml:space="preserve">тыс. руб. </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140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154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180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195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199</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коммунальные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i/>
                <w:iCs/>
                <w:color w:val="000000"/>
                <w:sz w:val="20"/>
                <w:szCs w:val="20"/>
              </w:rPr>
            </w:pPr>
            <w:r>
              <w:rPr>
                <w:b/>
                <w:bCs/>
                <w:i/>
                <w:iCs/>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110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115</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жилищные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i/>
                <w:iCs/>
                <w:color w:val="000000"/>
                <w:sz w:val="20"/>
                <w:szCs w:val="20"/>
              </w:rPr>
            </w:pPr>
            <w:r>
              <w:rPr>
                <w:b/>
                <w:bCs/>
                <w:i/>
                <w:iCs/>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51</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86</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84</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b/>
                <w:bCs/>
                <w:color w:val="000000"/>
                <w:sz w:val="20"/>
                <w:szCs w:val="20"/>
              </w:rPr>
            </w:pPr>
            <w:r>
              <w:rPr>
                <w:b/>
                <w:bCs/>
                <w:color w:val="000000"/>
                <w:sz w:val="20"/>
                <w:szCs w:val="20"/>
              </w:rPr>
              <w:t>оплачено, в т.ч.:</w:t>
            </w:r>
          </w:p>
        </w:tc>
        <w:tc>
          <w:tcPr>
            <w:tcW w:w="1490"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135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143</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169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186</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188</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коммунальные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i/>
                <w:iCs/>
                <w:color w:val="000000"/>
                <w:sz w:val="20"/>
                <w:szCs w:val="20"/>
              </w:rPr>
            </w:pPr>
            <w:r>
              <w:rPr>
                <w:b/>
                <w:bCs/>
                <w:i/>
                <w:iCs/>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109</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жилищные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i/>
                <w:iCs/>
                <w:color w:val="000000"/>
                <w:sz w:val="20"/>
                <w:szCs w:val="20"/>
              </w:rPr>
            </w:pPr>
            <w:r>
              <w:rPr>
                <w:b/>
                <w:bCs/>
                <w:i/>
                <w:iCs/>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49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79</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b/>
                <w:bCs/>
                <w:color w:val="000000"/>
                <w:sz w:val="20"/>
                <w:szCs w:val="20"/>
              </w:rPr>
            </w:pPr>
            <w:r>
              <w:rPr>
                <w:b/>
                <w:bCs/>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97,10%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92,70%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93,90%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94,90%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94,50%</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коммунальные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96,80%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93,40%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94,00%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94,60%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95,00%</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600" w:firstLineChars="300"/>
              <w:rPr>
                <w:b/>
                <w:bCs/>
                <w:i/>
                <w:iCs/>
                <w:color w:val="000000"/>
                <w:sz w:val="20"/>
                <w:szCs w:val="20"/>
              </w:rPr>
            </w:pPr>
            <w:r>
              <w:rPr>
                <w:b/>
                <w:bCs/>
                <w:i/>
                <w:iCs/>
                <w:color w:val="000000"/>
                <w:sz w:val="20"/>
                <w:szCs w:val="20"/>
              </w:rPr>
              <w:t>жилищные услуги</w:t>
            </w:r>
          </w:p>
        </w:tc>
        <w:tc>
          <w:tcPr>
            <w:tcW w:w="1490"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95,50%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91,60%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93,80%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95,40%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93,80%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Водоснабжение</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 xml:space="preserve">тыс. руб. </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11</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 xml:space="preserve">тыс. руб. </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11</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97,70%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96,20%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93,30%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96,30%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98,10%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Водоотведение</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12</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85</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103</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107</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82</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84</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99</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106</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96,00%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96,90%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93,10%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96,20%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98,40%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Теплоснабжение</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71</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74</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56</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61</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66</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69</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98,80%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93,40%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94,50%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93,60%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93,90%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Электроснабжение</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13</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15</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13</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14</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95,90%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86,50%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92,70%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96,20%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94,80%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Газоснабжение</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0,01</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0,02</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95,40%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95,70%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83,20%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87,10%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91,10%</w:t>
            </w:r>
          </w:p>
        </w:tc>
      </w:tr>
      <w:tr>
        <w:tblPrEx>
          <w:tblLayout w:type="fixed"/>
          <w:tblCellMar>
            <w:top w:w="0" w:type="dxa"/>
            <w:left w:w="108" w:type="dxa"/>
            <w:bottom w:w="0" w:type="dxa"/>
            <w:right w:w="108" w:type="dxa"/>
          </w:tblCellMar>
        </w:tblPrEx>
        <w:trPr>
          <w:trHeight w:val="315" w:hRule="atLeast"/>
        </w:trPr>
        <w:tc>
          <w:tcPr>
            <w:tcW w:w="9051"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pPr>
              <w:rPr>
                <w:i/>
                <w:iCs/>
                <w:color w:val="000000"/>
                <w:sz w:val="20"/>
                <w:szCs w:val="20"/>
              </w:rPr>
            </w:pPr>
            <w:r>
              <w:rPr>
                <w:i/>
                <w:iCs/>
                <w:color w:val="000000"/>
                <w:sz w:val="20"/>
                <w:szCs w:val="20"/>
              </w:rPr>
              <w:t>Захоронение и утилизация ТКО</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тыс. руб.</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н/д</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0,00%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0,00%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0,00%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0,00%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0,00%</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Жилищные услуги</w:t>
            </w:r>
          </w:p>
        </w:tc>
        <w:tc>
          <w:tcPr>
            <w:tcW w:w="1490"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c>
          <w:tcPr>
            <w:tcW w:w="692"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c>
          <w:tcPr>
            <w:tcW w:w="692"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c>
          <w:tcPr>
            <w:tcW w:w="692"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c>
          <w:tcPr>
            <w:tcW w:w="692"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c>
          <w:tcPr>
            <w:tcW w:w="692" w:type="dxa"/>
            <w:tcBorders>
              <w:top w:val="nil"/>
              <w:left w:val="nil"/>
              <w:bottom w:val="single" w:color="auto" w:sz="8" w:space="0"/>
              <w:right w:val="single" w:color="auto" w:sz="8" w:space="0"/>
            </w:tcBorders>
            <w:shd w:val="clear" w:color="auto" w:fill="auto"/>
            <w:vAlign w:val="center"/>
          </w:tcPr>
          <w:p>
            <w:pPr>
              <w:rPr>
                <w:i/>
                <w:iCs/>
                <w:color w:val="000000"/>
                <w:sz w:val="20"/>
                <w:szCs w:val="20"/>
              </w:rPr>
            </w:pPr>
            <w:r>
              <w:rPr>
                <w:i/>
                <w:iCs/>
                <w:color w:val="000000"/>
                <w:sz w:val="20"/>
                <w:szCs w:val="20"/>
              </w:rPr>
              <w:t> </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начислено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 xml:space="preserve">млн. руб. </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51</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64</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80</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86</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84</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оплачено</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 xml:space="preserve">млн. руб. </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49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59</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75</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82</w:t>
            </w:r>
          </w:p>
        </w:tc>
        <w:tc>
          <w:tcPr>
            <w:tcW w:w="692" w:type="dxa"/>
            <w:tcBorders>
              <w:top w:val="nil"/>
              <w:left w:val="nil"/>
              <w:bottom w:val="single" w:color="auto" w:sz="8" w:space="0"/>
              <w:right w:val="single" w:color="auto" w:sz="8" w:space="0"/>
            </w:tcBorders>
            <w:shd w:val="clear" w:color="auto" w:fill="auto"/>
            <w:vAlign w:val="center"/>
          </w:tcPr>
          <w:p>
            <w:pPr>
              <w:jc w:val="center"/>
              <w:rPr>
                <w:b/>
                <w:bCs/>
                <w:color w:val="000000"/>
                <w:sz w:val="20"/>
                <w:szCs w:val="20"/>
              </w:rPr>
            </w:pPr>
            <w:r>
              <w:rPr>
                <w:b/>
                <w:bCs/>
                <w:color w:val="000000"/>
                <w:sz w:val="20"/>
                <w:szCs w:val="20"/>
              </w:rPr>
              <w:t>79</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ind w:firstLine="200" w:firstLineChars="100"/>
              <w:rPr>
                <w:color w:val="000000"/>
                <w:sz w:val="20"/>
                <w:szCs w:val="20"/>
              </w:rPr>
            </w:pPr>
            <w:r>
              <w:rPr>
                <w:color w:val="000000"/>
                <w:sz w:val="20"/>
                <w:szCs w:val="20"/>
              </w:rPr>
              <w:t>собираемость</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95,50%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91,60%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93,80%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95,40%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93,80%</w:t>
            </w:r>
          </w:p>
        </w:tc>
      </w:tr>
      <w:tr>
        <w:tblPrEx>
          <w:tblLayout w:type="fixed"/>
          <w:tblCellMar>
            <w:top w:w="0" w:type="dxa"/>
            <w:left w:w="108" w:type="dxa"/>
            <w:bottom w:w="0" w:type="dxa"/>
            <w:right w:w="108" w:type="dxa"/>
          </w:tblCellMar>
        </w:tblPrEx>
        <w:trPr>
          <w:trHeight w:val="300" w:hRule="atLeast"/>
        </w:trPr>
        <w:tc>
          <w:tcPr>
            <w:tcW w:w="4101" w:type="dxa"/>
            <w:tcBorders>
              <w:top w:val="nil"/>
              <w:left w:val="single" w:color="auto" w:sz="8" w:space="0"/>
              <w:bottom w:val="nil"/>
              <w:right w:val="single" w:color="auto" w:sz="8" w:space="0"/>
            </w:tcBorders>
            <w:shd w:val="clear" w:color="auto" w:fill="auto"/>
            <w:vAlign w:val="center"/>
          </w:tcPr>
          <w:p>
            <w:pPr>
              <w:rPr>
                <w:color w:val="000000"/>
                <w:sz w:val="20"/>
                <w:szCs w:val="20"/>
              </w:rPr>
            </w:pPr>
            <w:r>
              <w:rPr>
                <w:color w:val="000000"/>
                <w:sz w:val="20"/>
                <w:szCs w:val="20"/>
              </w:rPr>
              <w:t xml:space="preserve">Доля платежа за ЖКУ в </w:t>
            </w:r>
          </w:p>
        </w:tc>
        <w:tc>
          <w:tcPr>
            <w:tcW w:w="1490"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6,70%</w:t>
            </w:r>
          </w:p>
        </w:tc>
        <w:tc>
          <w:tcPr>
            <w:tcW w:w="69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5,80%</w:t>
            </w:r>
          </w:p>
        </w:tc>
        <w:tc>
          <w:tcPr>
            <w:tcW w:w="69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6,60%</w:t>
            </w:r>
          </w:p>
        </w:tc>
        <w:tc>
          <w:tcPr>
            <w:tcW w:w="69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6,00%</w:t>
            </w:r>
          </w:p>
        </w:tc>
        <w:tc>
          <w:tcPr>
            <w:tcW w:w="692"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color w:val="000000"/>
                <w:sz w:val="20"/>
                <w:szCs w:val="20"/>
              </w:rPr>
            </w:pPr>
            <w:r>
              <w:rPr>
                <w:color w:val="000000"/>
                <w:sz w:val="20"/>
                <w:szCs w:val="20"/>
              </w:rPr>
              <w:t>6,40%</w:t>
            </w: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rPr>
                <w:color w:val="000000"/>
                <w:sz w:val="20"/>
                <w:szCs w:val="20"/>
              </w:rPr>
            </w:pPr>
            <w:r>
              <w:rPr>
                <w:color w:val="000000"/>
                <w:sz w:val="20"/>
                <w:szCs w:val="20"/>
              </w:rPr>
              <w:t>среднедушевом доходе</w:t>
            </w:r>
          </w:p>
        </w:tc>
        <w:tc>
          <w:tcPr>
            <w:tcW w:w="1490"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c>
          <w:tcPr>
            <w:tcW w:w="692"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c>
          <w:tcPr>
            <w:tcW w:w="692"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c>
          <w:tcPr>
            <w:tcW w:w="692"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c>
          <w:tcPr>
            <w:tcW w:w="692"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c>
          <w:tcPr>
            <w:tcW w:w="692" w:type="dxa"/>
            <w:vMerge w:val="continue"/>
            <w:tcBorders>
              <w:top w:val="nil"/>
              <w:left w:val="single" w:color="auto" w:sz="8" w:space="0"/>
              <w:bottom w:val="single" w:color="000000" w:sz="8" w:space="0"/>
              <w:right w:val="single" w:color="auto" w:sz="8" w:space="0"/>
            </w:tcBorders>
            <w:vAlign w:val="center"/>
          </w:tcPr>
          <w:p>
            <w:pPr>
              <w:rPr>
                <w:color w:val="000000"/>
                <w:sz w:val="20"/>
                <w:szCs w:val="20"/>
              </w:rPr>
            </w:pPr>
          </w:p>
        </w:tc>
      </w:tr>
      <w:tr>
        <w:tblPrEx>
          <w:tblLayout w:type="fixed"/>
          <w:tblCellMar>
            <w:top w:w="0" w:type="dxa"/>
            <w:left w:w="108" w:type="dxa"/>
            <w:bottom w:w="0" w:type="dxa"/>
            <w:right w:w="108" w:type="dxa"/>
          </w:tblCellMar>
        </w:tblPrEx>
        <w:trPr>
          <w:trHeight w:val="315" w:hRule="atLeast"/>
        </w:trPr>
        <w:tc>
          <w:tcPr>
            <w:tcW w:w="4101" w:type="dxa"/>
            <w:tcBorders>
              <w:top w:val="nil"/>
              <w:left w:val="single" w:color="auto" w:sz="8" w:space="0"/>
              <w:bottom w:val="single" w:color="auto" w:sz="8" w:space="0"/>
              <w:right w:val="single" w:color="auto" w:sz="8" w:space="0"/>
            </w:tcBorders>
            <w:shd w:val="clear" w:color="auto" w:fill="auto"/>
            <w:vAlign w:val="center"/>
          </w:tcPr>
          <w:p>
            <w:pPr>
              <w:rPr>
                <w:color w:val="000000"/>
                <w:sz w:val="20"/>
                <w:szCs w:val="20"/>
              </w:rPr>
            </w:pPr>
            <w:r>
              <w:rPr>
                <w:color w:val="000000"/>
                <w:sz w:val="20"/>
                <w:szCs w:val="20"/>
              </w:rPr>
              <w:t>Доля платежа за ЖКУ относительно величины прожиточного минимума</w:t>
            </w:r>
          </w:p>
        </w:tc>
        <w:tc>
          <w:tcPr>
            <w:tcW w:w="1490"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27,50%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24,30%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22,50%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23,10%</w:t>
            </w:r>
          </w:p>
        </w:tc>
        <w:tc>
          <w:tcPr>
            <w:tcW w:w="692" w:type="dxa"/>
            <w:tcBorders>
              <w:top w:val="nil"/>
              <w:left w:val="nil"/>
              <w:bottom w:val="single" w:color="auto" w:sz="8" w:space="0"/>
              <w:right w:val="single" w:color="auto" w:sz="8" w:space="0"/>
            </w:tcBorders>
            <w:shd w:val="clear" w:color="auto" w:fill="auto"/>
            <w:vAlign w:val="center"/>
          </w:tcPr>
          <w:p>
            <w:pPr>
              <w:jc w:val="center"/>
              <w:rPr>
                <w:color w:val="000000"/>
                <w:sz w:val="20"/>
                <w:szCs w:val="20"/>
              </w:rPr>
            </w:pPr>
            <w:r>
              <w:rPr>
                <w:color w:val="000000"/>
                <w:sz w:val="20"/>
                <w:szCs w:val="20"/>
              </w:rPr>
              <w:t>22,10%</w:t>
            </w:r>
          </w:p>
        </w:tc>
      </w:tr>
    </w:tbl>
    <w:p>
      <w:pPr>
        <w:autoSpaceDE w:val="0"/>
        <w:autoSpaceDN w:val="0"/>
        <w:adjustRightInd w:val="0"/>
        <w:spacing w:before="120" w:line="360" w:lineRule="auto"/>
        <w:jc w:val="both"/>
        <w:rPr>
          <w:color w:val="000000"/>
        </w:rPr>
      </w:pPr>
      <w:r>
        <w:rPr>
          <w:color w:val="000000"/>
          <w:sz w:val="20"/>
          <w:szCs w:val="20"/>
        </w:rPr>
        <w:t xml:space="preserve">Источник: статистическая форма 22-ЖКХ (сводная) и расчеты ООО «ЦТЭС».   </w:t>
      </w:r>
    </w:p>
    <w:p>
      <w:pPr>
        <w:pStyle w:val="71"/>
        <w:spacing w:before="0" w:beforeAutospacing="0" w:after="0" w:afterAutospacing="0" w:line="360" w:lineRule="auto"/>
        <w:ind w:right="140"/>
        <w:jc w:val="both"/>
        <w:rPr>
          <w:b/>
          <w:color w:val="000000"/>
          <w:sz w:val="28"/>
          <w:szCs w:val="28"/>
        </w:rPr>
      </w:pPr>
      <w:r>
        <w:rPr>
          <w:b/>
          <w:color w:val="000000"/>
          <w:sz w:val="28"/>
          <w:szCs w:val="28"/>
        </w:rPr>
        <w:t>Таблица 6-14. Показатели экономической доступности коммунальных услуг для населения</w:t>
      </w:r>
    </w:p>
    <w:tbl>
      <w:tblPr>
        <w:tblStyle w:val="100"/>
        <w:tblW w:w="9072" w:type="dxa"/>
        <w:tblInd w:w="-5" w:type="dxa"/>
        <w:tblLayout w:type="fixed"/>
        <w:tblCellMar>
          <w:top w:w="0" w:type="dxa"/>
          <w:left w:w="108" w:type="dxa"/>
          <w:bottom w:w="0" w:type="dxa"/>
          <w:right w:w="108" w:type="dxa"/>
        </w:tblCellMar>
      </w:tblPr>
      <w:tblGrid>
        <w:gridCol w:w="2552"/>
        <w:gridCol w:w="992"/>
        <w:gridCol w:w="789"/>
        <w:gridCol w:w="790"/>
        <w:gridCol w:w="790"/>
        <w:gridCol w:w="789"/>
        <w:gridCol w:w="790"/>
        <w:gridCol w:w="790"/>
        <w:gridCol w:w="790"/>
      </w:tblGrid>
      <w:tr>
        <w:tblPrEx>
          <w:tblLayout w:type="fixed"/>
          <w:tblCellMar>
            <w:top w:w="0" w:type="dxa"/>
            <w:left w:w="108" w:type="dxa"/>
            <w:bottom w:w="0" w:type="dxa"/>
            <w:right w:w="108" w:type="dxa"/>
          </w:tblCellMar>
        </w:tblPrEx>
        <w:trPr>
          <w:trHeight w:val="255" w:hRule="atLeast"/>
          <w:tblHeader/>
        </w:trPr>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8" w:firstLineChars="14"/>
              <w:jc w:val="center"/>
              <w:rPr>
                <w:b/>
                <w:sz w:val="20"/>
                <w:szCs w:val="20"/>
              </w:rPr>
            </w:pPr>
            <w:r>
              <w:rPr>
                <w:b/>
                <w:sz w:val="20"/>
                <w:szCs w:val="20"/>
              </w:rPr>
              <w:t>Показатели</w:t>
            </w:r>
          </w:p>
        </w:tc>
        <w:tc>
          <w:tcPr>
            <w:tcW w:w="992"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Ед. изм.</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2018</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2019</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2020</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
                <w:sz w:val="20"/>
                <w:szCs w:val="20"/>
              </w:rPr>
            </w:pPr>
            <w:r>
              <w:rPr>
                <w:b/>
                <w:sz w:val="20"/>
                <w:szCs w:val="20"/>
              </w:rPr>
              <w:t>2021</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2022</w:t>
            </w:r>
          </w:p>
        </w:tc>
        <w:tc>
          <w:tcPr>
            <w:tcW w:w="790" w:type="dxa"/>
            <w:tcBorders>
              <w:top w:val="single" w:color="auto" w:sz="4" w:space="0"/>
              <w:left w:val="nil"/>
              <w:bottom w:val="single" w:color="auto" w:sz="4" w:space="0"/>
              <w:right w:val="single" w:color="auto" w:sz="4" w:space="0"/>
            </w:tcBorders>
            <w:vAlign w:val="center"/>
          </w:tcPr>
          <w:p>
            <w:pPr>
              <w:jc w:val="center"/>
              <w:rPr>
                <w:b/>
                <w:sz w:val="20"/>
                <w:szCs w:val="20"/>
              </w:rPr>
            </w:pPr>
            <w:r>
              <w:rPr>
                <w:b/>
                <w:sz w:val="20"/>
                <w:szCs w:val="20"/>
              </w:rPr>
              <w:t>2023</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b/>
                <w:sz w:val="20"/>
                <w:szCs w:val="20"/>
              </w:rPr>
              <w:t>2028</w:t>
            </w:r>
          </w:p>
        </w:tc>
      </w:tr>
      <w:tr>
        <w:tblPrEx>
          <w:tblLayout w:type="fixed"/>
          <w:tblCellMar>
            <w:top w:w="0" w:type="dxa"/>
            <w:left w:w="108" w:type="dxa"/>
            <w:bottom w:w="0" w:type="dxa"/>
            <w:right w:w="108" w:type="dxa"/>
          </w:tblCellMar>
        </w:tblPrEx>
        <w:trPr>
          <w:trHeight w:val="255" w:hRule="atLeast"/>
        </w:trPr>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8" w:firstLineChars="14"/>
              <w:rPr>
                <w:sz w:val="20"/>
                <w:szCs w:val="20"/>
              </w:rPr>
            </w:pPr>
            <w:r>
              <w:rPr>
                <w:sz w:val="20"/>
                <w:szCs w:val="20"/>
              </w:rPr>
              <w:t>Доля платежа за ЖКУ в среднедушевом доходе</w:t>
            </w:r>
          </w:p>
        </w:tc>
        <w:tc>
          <w:tcPr>
            <w:tcW w:w="992"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6,4</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6,3</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6,4</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6,5</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6,6</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6,6</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 w:val="20"/>
                <w:szCs w:val="20"/>
                <w:lang w:val="en-US"/>
                <w14:textFill>
                  <w14:solidFill>
                    <w14:schemeClr w14:val="tx1"/>
                  </w14:solidFill>
                </w14:textFill>
              </w:rPr>
            </w:pPr>
            <w:r>
              <w:rPr>
                <w:bCs/>
                <w:color w:val="000000" w:themeColor="text1"/>
                <w:sz w:val="20"/>
                <w:szCs w:val="20"/>
                <w:lang w:val="en-US"/>
                <w14:textFill>
                  <w14:solidFill>
                    <w14:schemeClr w14:val="tx1"/>
                  </w14:solidFill>
                </w14:textFill>
              </w:rPr>
              <w:t>6,8</w:t>
            </w:r>
          </w:p>
        </w:tc>
      </w:tr>
      <w:tr>
        <w:tblPrEx>
          <w:tblLayout w:type="fixed"/>
          <w:tblCellMar>
            <w:top w:w="0" w:type="dxa"/>
            <w:left w:w="108" w:type="dxa"/>
            <w:bottom w:w="0" w:type="dxa"/>
            <w:right w:w="108" w:type="dxa"/>
          </w:tblCellMar>
        </w:tblPrEx>
        <w:trPr>
          <w:trHeight w:val="205" w:hRule="atLeast"/>
        </w:trPr>
        <w:tc>
          <w:tcPr>
            <w:tcW w:w="2552" w:type="dxa"/>
            <w:tcBorders>
              <w:top w:val="nil"/>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Доля платежа за ЖКУ в величине прожиточного минимума</w:t>
            </w:r>
          </w:p>
        </w:tc>
        <w:tc>
          <w:tcPr>
            <w:tcW w:w="992" w:type="dxa"/>
            <w:tcBorders>
              <w:top w:val="nil"/>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789"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21,4</w:t>
            </w:r>
          </w:p>
        </w:tc>
        <w:tc>
          <w:tcPr>
            <w:tcW w:w="790"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21,1</w:t>
            </w:r>
          </w:p>
        </w:tc>
        <w:tc>
          <w:tcPr>
            <w:tcW w:w="790"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20,3</w:t>
            </w:r>
          </w:p>
        </w:tc>
        <w:tc>
          <w:tcPr>
            <w:tcW w:w="789" w:type="dxa"/>
            <w:tcBorders>
              <w:top w:val="nil"/>
              <w:left w:val="nil"/>
              <w:bottom w:val="single" w:color="auto" w:sz="4" w:space="0"/>
              <w:right w:val="single" w:color="auto" w:sz="4" w:space="0"/>
            </w:tcBorders>
            <w:shd w:val="clear" w:color="auto" w:fill="auto"/>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19,9</w:t>
            </w:r>
          </w:p>
        </w:tc>
        <w:tc>
          <w:tcPr>
            <w:tcW w:w="790" w:type="dxa"/>
            <w:tcBorders>
              <w:top w:val="nil"/>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20,0</w:t>
            </w:r>
          </w:p>
        </w:tc>
        <w:tc>
          <w:tcPr>
            <w:tcW w:w="790" w:type="dxa"/>
            <w:tcBorders>
              <w:top w:val="single" w:color="auto" w:sz="4" w:space="0"/>
              <w:left w:val="nil"/>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20,0</w:t>
            </w:r>
          </w:p>
        </w:tc>
        <w:tc>
          <w:tcPr>
            <w:tcW w:w="790" w:type="dxa"/>
            <w:tcBorders>
              <w:top w:val="nil"/>
              <w:left w:val="single" w:color="auto" w:sz="4" w:space="0"/>
              <w:bottom w:val="single" w:color="auto" w:sz="4" w:space="0"/>
              <w:right w:val="single" w:color="auto" w:sz="4" w:space="0"/>
            </w:tcBorders>
            <w:vAlign w:val="center"/>
          </w:tcPr>
          <w:p>
            <w:pPr>
              <w:jc w:val="center"/>
              <w:rPr>
                <w:bCs/>
                <w:color w:val="000000" w:themeColor="text1"/>
                <w:sz w:val="20"/>
                <w:szCs w:val="20"/>
                <w14:textFill>
                  <w14:solidFill>
                    <w14:schemeClr w14:val="tx1"/>
                  </w14:solidFill>
                </w14:textFill>
              </w:rPr>
            </w:pPr>
            <w:r>
              <w:rPr>
                <w:bCs/>
                <w:color w:val="000000" w:themeColor="text1"/>
                <w:sz w:val="20"/>
                <w:szCs w:val="20"/>
                <w14:textFill>
                  <w14:solidFill>
                    <w14:schemeClr w14:val="tx1"/>
                  </w14:solidFill>
                </w14:textFill>
              </w:rPr>
              <w:t>19,9</w:t>
            </w:r>
          </w:p>
        </w:tc>
      </w:tr>
      <w:tr>
        <w:tblPrEx>
          <w:tblLayout w:type="fixed"/>
          <w:tblCellMar>
            <w:top w:w="0" w:type="dxa"/>
            <w:left w:w="108" w:type="dxa"/>
            <w:bottom w:w="0" w:type="dxa"/>
            <w:right w:w="108" w:type="dxa"/>
          </w:tblCellMar>
        </w:tblPrEx>
        <w:trPr>
          <w:trHeight w:val="327" w:hRule="atLeast"/>
        </w:trPr>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ind w:left="29"/>
              <w:rPr>
                <w:sz w:val="20"/>
                <w:szCs w:val="20"/>
              </w:rPr>
            </w:pPr>
            <w:r>
              <w:rPr>
                <w:sz w:val="20"/>
                <w:szCs w:val="20"/>
              </w:rPr>
              <w:t>Собираемость</w:t>
            </w:r>
          </w:p>
        </w:tc>
        <w:tc>
          <w:tcPr>
            <w:tcW w:w="992" w:type="dxa"/>
            <w:tcBorders>
              <w:top w:val="single" w:color="auto" w:sz="4" w:space="0"/>
              <w:left w:val="nil"/>
              <w:bottom w:val="single" w:color="auto" w:sz="4" w:space="0"/>
              <w:right w:val="single" w:color="auto" w:sz="4" w:space="0"/>
            </w:tcBorders>
            <w:shd w:val="clear" w:color="auto" w:fill="auto"/>
            <w:vAlign w:val="center"/>
          </w:tcPr>
          <w:p>
            <w:pPr>
              <w:jc w:val="center"/>
              <w:rPr>
                <w:sz w:val="20"/>
                <w:szCs w:val="20"/>
              </w:rPr>
            </w:pPr>
            <w:r>
              <w:rPr>
                <w:sz w:val="20"/>
                <w:szCs w:val="20"/>
              </w:rPr>
              <w:t>%</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95,8</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95,7</w:t>
            </w:r>
          </w:p>
        </w:tc>
        <w:tc>
          <w:tcPr>
            <w:tcW w:w="790"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95,6</w:t>
            </w:r>
          </w:p>
        </w:tc>
        <w:tc>
          <w:tcPr>
            <w:tcW w:w="789" w:type="dxa"/>
            <w:tcBorders>
              <w:top w:val="single" w:color="auto" w:sz="4" w:space="0"/>
              <w:left w:val="nil"/>
              <w:bottom w:val="single" w:color="auto" w:sz="4" w:space="0"/>
              <w:right w:val="single" w:color="auto" w:sz="4" w:space="0"/>
            </w:tcBorders>
            <w:shd w:val="clear" w:color="auto" w:fill="auto"/>
            <w:vAlign w:val="center"/>
          </w:tcPr>
          <w:p>
            <w:pPr>
              <w:jc w:val="center"/>
              <w:rPr>
                <w:bCs/>
                <w:sz w:val="20"/>
                <w:szCs w:val="20"/>
              </w:rPr>
            </w:pPr>
            <w:r>
              <w:rPr>
                <w:bCs/>
                <w:sz w:val="20"/>
                <w:szCs w:val="20"/>
              </w:rPr>
              <w:t>95,5</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95,4</w:t>
            </w:r>
          </w:p>
        </w:tc>
        <w:tc>
          <w:tcPr>
            <w:tcW w:w="790" w:type="dxa"/>
            <w:tcBorders>
              <w:top w:val="single" w:color="auto" w:sz="4" w:space="0"/>
              <w:left w:val="nil"/>
              <w:bottom w:val="single" w:color="auto" w:sz="4" w:space="0"/>
              <w:right w:val="single" w:color="auto" w:sz="4" w:space="0"/>
            </w:tcBorders>
            <w:vAlign w:val="center"/>
          </w:tcPr>
          <w:p>
            <w:pPr>
              <w:jc w:val="center"/>
              <w:rPr>
                <w:bCs/>
                <w:sz w:val="20"/>
                <w:szCs w:val="20"/>
              </w:rPr>
            </w:pPr>
            <w:r>
              <w:rPr>
                <w:bCs/>
                <w:sz w:val="20"/>
                <w:szCs w:val="20"/>
              </w:rPr>
              <w:t>95,4</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95,2</w:t>
            </w:r>
          </w:p>
        </w:tc>
      </w:tr>
    </w:tbl>
    <w:p>
      <w:pPr>
        <w:autoSpaceDE w:val="0"/>
        <w:autoSpaceDN w:val="0"/>
        <w:adjustRightInd w:val="0"/>
        <w:spacing w:before="120" w:line="360" w:lineRule="auto"/>
        <w:jc w:val="both"/>
        <w:rPr>
          <w:color w:val="000000"/>
        </w:rPr>
      </w:pPr>
      <w:r>
        <w:rPr>
          <w:color w:val="000000"/>
          <w:sz w:val="20"/>
          <w:szCs w:val="20"/>
        </w:rPr>
        <w:t xml:space="preserve">Источник: оценки ООО «ЦТЭС».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В качестве критериев экономической доступности настоящей Программы в контексте бюджетных расходов выступают следующие показатели:</w:t>
      </w:r>
    </w:p>
    <w:p>
      <w:pPr>
        <w:pStyle w:val="154"/>
        <w:numPr>
          <w:ilvl w:val="0"/>
          <w:numId w:val="60"/>
        </w:numPr>
        <w:tabs>
          <w:tab w:val="left" w:pos="1134"/>
        </w:tabs>
        <w:autoSpaceDE w:val="0"/>
        <w:autoSpaceDN w:val="0"/>
        <w:adjustRightInd w:val="0"/>
        <w:spacing w:line="360" w:lineRule="auto"/>
        <w:ind w:left="1134" w:hanging="567"/>
        <w:jc w:val="both"/>
        <w:rPr>
          <w:color w:val="000000"/>
          <w:spacing w:val="-2"/>
          <w:sz w:val="28"/>
          <w:szCs w:val="28"/>
        </w:rPr>
      </w:pPr>
      <w:r>
        <w:rPr>
          <w:color w:val="000000"/>
          <w:spacing w:val="-2"/>
          <w:sz w:val="28"/>
          <w:szCs w:val="28"/>
        </w:rPr>
        <w:t>доля семей, получающих субсидии на оплату жилищно-коммунальных услуг, не превышает уровень базового года;</w:t>
      </w:r>
    </w:p>
    <w:p>
      <w:pPr>
        <w:pStyle w:val="154"/>
        <w:numPr>
          <w:ilvl w:val="0"/>
          <w:numId w:val="60"/>
        </w:numPr>
        <w:tabs>
          <w:tab w:val="left" w:pos="1134"/>
        </w:tabs>
        <w:autoSpaceDE w:val="0"/>
        <w:autoSpaceDN w:val="0"/>
        <w:adjustRightInd w:val="0"/>
        <w:spacing w:line="360" w:lineRule="auto"/>
        <w:ind w:left="1134" w:hanging="567"/>
        <w:jc w:val="both"/>
        <w:rPr>
          <w:color w:val="000000"/>
          <w:spacing w:val="-2"/>
          <w:sz w:val="28"/>
          <w:szCs w:val="28"/>
        </w:rPr>
      </w:pPr>
      <w:r>
        <w:rPr>
          <w:color w:val="000000"/>
          <w:spacing w:val="-2"/>
          <w:sz w:val="28"/>
          <w:szCs w:val="28"/>
        </w:rPr>
        <w:t>доля лиц, получающих социальную поддержку при оплате жилищно-коммунальных услуг, не превышает уровень базового года.</w:t>
      </w:r>
      <w:r>
        <w:rPr>
          <w:rStyle w:val="90"/>
          <w:spacing w:val="-2"/>
          <w:sz w:val="28"/>
          <w:szCs w:val="28"/>
        </w:rPr>
        <w:footnoteReference w:id="3"/>
      </w:r>
      <w:r>
        <w:rPr>
          <w:color w:val="000000"/>
          <w:spacing w:val="-2"/>
          <w:sz w:val="28"/>
          <w:szCs w:val="28"/>
        </w:rPr>
        <w:t xml:space="preserve">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Значения первого показателя в течение срока реализации настоящей Программы находится на уровне базового года; второй – снижается (см. таблицу 6-14).  </w:t>
      </w:r>
    </w:p>
    <w:p>
      <w:pPr>
        <w:autoSpaceDE w:val="0"/>
        <w:autoSpaceDN w:val="0"/>
        <w:adjustRightInd w:val="0"/>
        <w:spacing w:line="360" w:lineRule="auto"/>
        <w:ind w:firstLine="567"/>
        <w:jc w:val="both"/>
        <w:rPr>
          <w:color w:val="000000"/>
          <w:spacing w:val="-2"/>
          <w:sz w:val="28"/>
          <w:szCs w:val="28"/>
        </w:rPr>
      </w:pPr>
      <w:r>
        <w:rPr>
          <w:color w:val="000000"/>
          <w:spacing w:val="-2"/>
          <w:sz w:val="28"/>
          <w:szCs w:val="28"/>
        </w:rPr>
        <w:t xml:space="preserve">В качестве дополнительных критериев экономической доступности могут выступать: </w:t>
      </w:r>
    </w:p>
    <w:p>
      <w:pPr>
        <w:pStyle w:val="154"/>
        <w:numPr>
          <w:ilvl w:val="0"/>
          <w:numId w:val="60"/>
        </w:numPr>
        <w:tabs>
          <w:tab w:val="left" w:pos="1134"/>
        </w:tabs>
        <w:autoSpaceDE w:val="0"/>
        <w:autoSpaceDN w:val="0"/>
        <w:adjustRightInd w:val="0"/>
        <w:spacing w:line="360" w:lineRule="auto"/>
        <w:ind w:left="1134" w:hanging="567"/>
        <w:jc w:val="both"/>
        <w:rPr>
          <w:color w:val="000000"/>
          <w:spacing w:val="-2"/>
          <w:sz w:val="28"/>
          <w:szCs w:val="28"/>
        </w:rPr>
      </w:pPr>
      <w:r>
        <w:rPr>
          <w:color w:val="000000"/>
          <w:spacing w:val="-2"/>
          <w:sz w:val="28"/>
          <w:szCs w:val="28"/>
        </w:rPr>
        <w:t>средний размер начисленной субсидии на оплату жилищно-коммунальных услуг населению в реальном исчислении не превышает уровень базового года;</w:t>
      </w:r>
    </w:p>
    <w:p>
      <w:pPr>
        <w:pStyle w:val="154"/>
        <w:numPr>
          <w:ilvl w:val="0"/>
          <w:numId w:val="60"/>
        </w:numPr>
        <w:tabs>
          <w:tab w:val="left" w:pos="1134"/>
        </w:tabs>
        <w:autoSpaceDE w:val="0"/>
        <w:autoSpaceDN w:val="0"/>
        <w:adjustRightInd w:val="0"/>
        <w:spacing w:line="360" w:lineRule="auto"/>
        <w:ind w:left="1134" w:hanging="567"/>
        <w:jc w:val="both"/>
        <w:rPr>
          <w:color w:val="000000"/>
          <w:spacing w:val="-2"/>
          <w:sz w:val="28"/>
          <w:szCs w:val="28"/>
        </w:rPr>
      </w:pPr>
      <w:r>
        <w:rPr>
          <w:color w:val="000000"/>
          <w:spacing w:val="-2"/>
          <w:sz w:val="28"/>
          <w:szCs w:val="28"/>
        </w:rPr>
        <w:t xml:space="preserve">средний размер социальной поддержки при оплате жилищно-коммунальных услуг в реальном исчислении не превышает уровень базового года. </w:t>
      </w:r>
    </w:p>
    <w:p>
      <w:pPr>
        <w:tabs>
          <w:tab w:val="left" w:pos="1134"/>
        </w:tabs>
        <w:autoSpaceDE w:val="0"/>
        <w:autoSpaceDN w:val="0"/>
        <w:adjustRightInd w:val="0"/>
        <w:spacing w:line="360" w:lineRule="auto"/>
        <w:jc w:val="both"/>
        <w:rPr>
          <w:color w:val="000000"/>
          <w:spacing w:val="-2"/>
          <w:sz w:val="28"/>
          <w:szCs w:val="28"/>
        </w:rPr>
      </w:pPr>
      <w:r>
        <w:rPr>
          <w:color w:val="000000"/>
          <w:spacing w:val="-2"/>
          <w:sz w:val="28"/>
          <w:szCs w:val="28"/>
        </w:rPr>
        <w:tab/>
      </w:r>
      <w:r>
        <w:rPr>
          <w:color w:val="000000"/>
          <w:spacing w:val="-2"/>
          <w:sz w:val="28"/>
          <w:szCs w:val="28"/>
        </w:rPr>
        <w:t>Значения обоих этих показателей в реальном исчислении (в сопоставимых ценах) в течение срока реализации настоящей Программы также будут снижаться.</w:t>
      </w:r>
    </w:p>
    <w:p>
      <w:pPr>
        <w:pStyle w:val="2"/>
        <w:numPr>
          <w:ilvl w:val="0"/>
          <w:numId w:val="30"/>
        </w:numPr>
        <w:spacing w:after="0"/>
        <w:ind w:left="448" w:hanging="448"/>
        <w:rPr>
          <w:rFonts w:ascii="Times New Roman" w:hAnsi="Times New Roman"/>
          <w:sz w:val="30"/>
          <w:szCs w:val="30"/>
        </w:rPr>
      </w:pPr>
      <w:bookmarkStart w:id="56" w:name="_Toc21015073"/>
      <w:r>
        <w:rPr>
          <w:rFonts w:ascii="Times New Roman" w:hAnsi="Times New Roman"/>
          <w:sz w:val="30"/>
          <w:szCs w:val="30"/>
        </w:rPr>
        <w:t>УПРАВЛЕНИЕ ПРОГРАММОЙ</w:t>
      </w:r>
      <w:bookmarkEnd w:id="56"/>
    </w:p>
    <w:p>
      <w:pPr>
        <w:jc w:val="center"/>
      </w:pP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57" w:name="_Toc299724233"/>
      <w:bookmarkStart w:id="58" w:name="_Toc299984085"/>
      <w:bookmarkStart w:id="59" w:name="_Toc21015074"/>
      <w:r>
        <w:rPr>
          <w:rFonts w:ascii="Times New Roman" w:hAnsi="Times New Roman"/>
          <w:i w:val="0"/>
          <w:color w:val="000000"/>
          <w:sz w:val="30"/>
          <w:szCs w:val="30"/>
        </w:rPr>
        <w:t>Ответственные за реализацию Программы</w:t>
      </w:r>
      <w:bookmarkEnd w:id="57"/>
      <w:bookmarkEnd w:id="58"/>
      <w:bookmarkEnd w:id="59"/>
    </w:p>
    <w:p>
      <w:pPr>
        <w:pStyle w:val="777"/>
        <w:spacing w:before="0" w:after="0" w:line="360" w:lineRule="auto"/>
        <w:ind w:firstLine="567"/>
        <w:rPr>
          <w:color w:val="000000"/>
          <w:spacing w:val="0"/>
          <w:sz w:val="28"/>
          <w:szCs w:val="28"/>
          <w:lang w:eastAsia="ru-RU"/>
        </w:rPr>
      </w:pPr>
      <w:r>
        <w:rPr>
          <w:color w:val="000000"/>
          <w:spacing w:val="0"/>
          <w:sz w:val="28"/>
          <w:szCs w:val="28"/>
          <w:lang w:eastAsia="ru-RU"/>
        </w:rPr>
        <w:t xml:space="preserve">От Администрации </w:t>
      </w:r>
      <w:r>
        <w:rPr>
          <w:color w:val="000000"/>
          <w:sz w:val="28"/>
          <w:szCs w:val="28"/>
        </w:rPr>
        <w:t>территориальному управлению Одинцово</w:t>
      </w:r>
      <w:r>
        <w:rPr>
          <w:color w:val="000000"/>
          <w:spacing w:val="0"/>
          <w:sz w:val="28"/>
          <w:szCs w:val="28"/>
          <w:lang w:eastAsia="ru-RU"/>
        </w:rPr>
        <w:t xml:space="preserve"> ответственным исполнителем за реализацию настоящей Программы назначается </w:t>
      </w:r>
      <w:r>
        <w:rPr>
          <w:sz w:val="28"/>
          <w:szCs w:val="28"/>
          <w:lang w:eastAsia="ar-SA"/>
        </w:rPr>
        <w:t xml:space="preserve">отделом жилищно-коммунального хозяйства и благоустройства </w:t>
      </w:r>
      <w:r>
        <w:rPr>
          <w:color w:val="000000"/>
          <w:sz w:val="28"/>
          <w:szCs w:val="28"/>
        </w:rPr>
        <w:t>территориального управления Одинцово</w:t>
      </w:r>
      <w:r>
        <w:rPr>
          <w:sz w:val="28"/>
          <w:szCs w:val="28"/>
        </w:rPr>
        <w:t>.</w:t>
      </w:r>
      <w:r>
        <w:rPr>
          <w:color w:val="000000"/>
          <w:spacing w:val="0"/>
          <w:sz w:val="28"/>
          <w:szCs w:val="28"/>
          <w:lang w:eastAsia="ru-RU"/>
        </w:rPr>
        <w:t xml:space="preserve"> </w:t>
      </w:r>
    </w:p>
    <w:p>
      <w:pPr>
        <w:pStyle w:val="777"/>
        <w:spacing w:before="0" w:after="0" w:line="360" w:lineRule="auto"/>
        <w:ind w:firstLine="567"/>
        <w:rPr>
          <w:color w:val="000000"/>
          <w:spacing w:val="0"/>
          <w:sz w:val="28"/>
          <w:szCs w:val="28"/>
          <w:lang w:eastAsia="ru-RU"/>
        </w:rPr>
      </w:pPr>
      <w:r>
        <w:rPr>
          <w:sz w:val="28"/>
          <w:szCs w:val="28"/>
          <w:lang w:eastAsia="ar-SA"/>
        </w:rPr>
        <w:t>Отдел жилищно-коммунального хозяйства и благоустройства А</w:t>
      </w:r>
      <w:r>
        <w:rPr>
          <w:spacing w:val="5"/>
          <w:sz w:val="28"/>
          <w:szCs w:val="28"/>
        </w:rPr>
        <w:t xml:space="preserve">дминистрации </w:t>
      </w:r>
      <w:r>
        <w:rPr>
          <w:color w:val="000000"/>
          <w:sz w:val="28"/>
          <w:szCs w:val="28"/>
        </w:rPr>
        <w:t>территориального управления Одинцово</w:t>
      </w:r>
      <w:r>
        <w:rPr>
          <w:color w:val="000000"/>
          <w:spacing w:val="0"/>
          <w:sz w:val="28"/>
          <w:szCs w:val="28"/>
          <w:lang w:eastAsia="ru-RU"/>
        </w:rPr>
        <w:t xml:space="preserve"> организует деятельность по реализации инвестиционных проектов в системах водоотведения, тепло-, водо-, электро-, газоснабжения и обращения твердых коммунальныз отходов, а также системе наружного освещения. </w:t>
      </w:r>
    </w:p>
    <w:p>
      <w:pPr>
        <w:pStyle w:val="777"/>
        <w:spacing w:before="0" w:after="0" w:line="360" w:lineRule="auto"/>
        <w:ind w:firstLine="567"/>
        <w:rPr>
          <w:color w:val="000000"/>
          <w:spacing w:val="0"/>
          <w:sz w:val="28"/>
          <w:szCs w:val="28"/>
          <w:lang w:eastAsia="ru-RU"/>
        </w:rPr>
      </w:pPr>
      <w:r>
        <w:rPr>
          <w:color w:val="000000"/>
          <w:spacing w:val="0"/>
          <w:sz w:val="28"/>
          <w:szCs w:val="28"/>
          <w:lang w:eastAsia="ru-RU"/>
        </w:rPr>
        <w:t xml:space="preserve">Отдел </w:t>
      </w:r>
      <w:r>
        <w:rPr>
          <w:sz w:val="28"/>
          <w:szCs w:val="28"/>
        </w:rPr>
        <w:t xml:space="preserve">архитектуры и строительства </w:t>
      </w:r>
      <w:r>
        <w:rPr>
          <w:color w:val="000000"/>
          <w:sz w:val="28"/>
          <w:szCs w:val="28"/>
        </w:rPr>
        <w:t>территориального управления  Одинцово</w:t>
      </w:r>
      <w:r>
        <w:rPr>
          <w:color w:val="000000"/>
          <w:spacing w:val="0"/>
          <w:sz w:val="28"/>
          <w:szCs w:val="28"/>
          <w:lang w:eastAsia="ru-RU"/>
        </w:rPr>
        <w:t xml:space="preserve"> организует деятельность по корректировке перспективной застройки города, и как следствие, к корректировке инвестиционных проектов в части развития территорий. </w:t>
      </w:r>
    </w:p>
    <w:p>
      <w:pPr>
        <w:pStyle w:val="777"/>
        <w:spacing w:before="0" w:after="0" w:line="360" w:lineRule="auto"/>
        <w:ind w:firstLine="567"/>
        <w:rPr>
          <w:color w:val="000000"/>
          <w:spacing w:val="0"/>
          <w:sz w:val="28"/>
          <w:szCs w:val="28"/>
          <w:lang w:eastAsia="ru-RU"/>
        </w:rPr>
      </w:pPr>
      <w:r>
        <w:rPr>
          <w:sz w:val="28"/>
          <w:szCs w:val="28"/>
          <w:lang w:eastAsia="ar-SA"/>
        </w:rPr>
        <w:t xml:space="preserve">Отдел жилищно-коммунального хозяйства и благоустройства ТУ </w:t>
      </w:r>
      <w:r>
        <w:rPr>
          <w:color w:val="000000"/>
          <w:sz w:val="28"/>
          <w:szCs w:val="28"/>
        </w:rPr>
        <w:t>Одинцово</w:t>
      </w:r>
      <w:r>
        <w:rPr>
          <w:color w:val="000000"/>
          <w:spacing w:val="0"/>
          <w:sz w:val="28"/>
          <w:szCs w:val="28"/>
          <w:lang w:eastAsia="ru-RU"/>
        </w:rPr>
        <w:t xml:space="preserve"> в ходе реализации настоящей Программы:</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осуществляет контроль за деятельностью по выполнению инвестиционных проектов;</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разрабатывает и выносит на рассмотрение проекты нормативных правовых актов и других документов необходимых для реализации инвестиционных проектов;</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принимает в пределах своих полномочий нормативные правовые акты, необходимые для выполнения инвестиционных проектов;</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определяет механизмы реализации и состав исполнителей;</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осуществляет мониторинг выполнения настоящей Программы;</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подготавливает с учетом хода реализации Программы и представляет ежегодно в установленном порядке сводную бюджетную заявку на финансирование инвестиционных проектов на очередной год;</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представляет ежегодно до 1 февраля Главе территориального управления доклад о ходе работ по настоящей Программе, достигнутых результатах и эффективности использования финансовых средств;</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инициирует при необходимости экспертные проверки хода реализации отдельных инвестиционных проектов Программы;</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вносит предложения о корректировке, продлении срока реализации настоящей Программы или о прекращении ее выполнения (при необходимости);</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 xml:space="preserve">по завершении настоящей Программы представляет Главе муниципального образования доклад о ее выполнении за весь период реализации. </w:t>
      </w:r>
    </w:p>
    <w:p>
      <w:pPr>
        <w:pStyle w:val="3"/>
        <w:numPr>
          <w:ilvl w:val="1"/>
          <w:numId w:val="30"/>
        </w:numPr>
        <w:pBdr>
          <w:bottom w:val="single" w:color="auto" w:sz="12" w:space="0"/>
        </w:pBdr>
        <w:tabs>
          <w:tab w:val="left" w:pos="1134"/>
        </w:tabs>
        <w:spacing w:before="0" w:after="200"/>
        <w:ind w:left="1134" w:hanging="567"/>
        <w:rPr>
          <w:b w:val="0"/>
          <w:color w:val="000000"/>
        </w:rPr>
      </w:pPr>
      <w:bookmarkStart w:id="60" w:name="_Toc299724234"/>
      <w:bookmarkStart w:id="61" w:name="_Toc299984086"/>
      <w:bookmarkStart w:id="62" w:name="_Toc21015075"/>
      <w:r>
        <w:rPr>
          <w:rFonts w:ascii="Times New Roman" w:hAnsi="Times New Roman"/>
          <w:i w:val="0"/>
          <w:color w:val="000000"/>
          <w:sz w:val="30"/>
          <w:szCs w:val="30"/>
        </w:rPr>
        <w:t>План-график работ по реализации Программы</w:t>
      </w:r>
      <w:bookmarkEnd w:id="60"/>
      <w:bookmarkEnd w:id="61"/>
      <w:bookmarkEnd w:id="62"/>
    </w:p>
    <w:p>
      <w:pPr>
        <w:widowControl w:val="0"/>
        <w:tabs>
          <w:tab w:val="left" w:pos="0"/>
        </w:tabs>
        <w:autoSpaceDE w:val="0"/>
        <w:autoSpaceDN w:val="0"/>
        <w:adjustRightInd w:val="0"/>
        <w:spacing w:line="360" w:lineRule="auto"/>
        <w:ind w:firstLine="567"/>
        <w:jc w:val="both"/>
        <w:rPr>
          <w:color w:val="000000"/>
          <w:sz w:val="28"/>
          <w:szCs w:val="28"/>
        </w:rPr>
      </w:pPr>
      <w:r>
        <w:rPr>
          <w:color w:val="000000"/>
          <w:sz w:val="28"/>
          <w:szCs w:val="28"/>
        </w:rPr>
        <w:t xml:space="preserve">План-график работ по реализации инвестиционных проектов настоящей Программы подробно изложен в таблице 9.3 к тому 2 «Обосновывающие материалы к Программному документу». </w:t>
      </w:r>
    </w:p>
    <w:p>
      <w:pPr>
        <w:spacing w:line="360" w:lineRule="auto"/>
        <w:ind w:firstLine="567"/>
        <w:jc w:val="both"/>
        <w:rPr>
          <w:color w:val="000000"/>
          <w:sz w:val="28"/>
          <w:szCs w:val="28"/>
        </w:rPr>
      </w:pPr>
      <w:r>
        <w:rPr>
          <w:color w:val="000000"/>
          <w:sz w:val="28"/>
          <w:szCs w:val="28"/>
        </w:rPr>
        <w:t>В целях реализации инвестиционных программ коммунальных предприятий разрабатываются технические задания, которые в обязательном поряде содержат:</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цели и задачи разработки и реализации инвестиционной программы организации коммунального комплекса;</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требования к инвестиционной программе (перечень необходимых к выполнению работ);</w:t>
      </w:r>
    </w:p>
    <w:p>
      <w:pPr>
        <w:pStyle w:val="777"/>
        <w:numPr>
          <w:ilvl w:val="0"/>
          <w:numId w:val="62"/>
        </w:numPr>
        <w:spacing w:before="0" w:after="0" w:line="360" w:lineRule="auto"/>
        <w:ind w:left="1134" w:hanging="567"/>
        <w:rPr>
          <w:color w:val="000000"/>
          <w:spacing w:val="0"/>
          <w:sz w:val="28"/>
          <w:szCs w:val="28"/>
          <w:lang w:eastAsia="ru-RU"/>
        </w:rPr>
      </w:pPr>
      <w:r>
        <w:rPr>
          <w:color w:val="000000"/>
          <w:spacing w:val="0"/>
          <w:sz w:val="28"/>
          <w:szCs w:val="28"/>
          <w:lang w:eastAsia="ru-RU"/>
        </w:rPr>
        <w:t>сроки разработки инвестиционной программы.</w:t>
      </w:r>
    </w:p>
    <w:p>
      <w:pPr>
        <w:spacing w:line="360" w:lineRule="auto"/>
        <w:ind w:firstLine="567"/>
        <w:jc w:val="both"/>
        <w:rPr>
          <w:rFonts w:eastAsia="Calibri"/>
          <w:color w:val="000000"/>
          <w:sz w:val="28"/>
          <w:szCs w:val="28"/>
        </w:rPr>
      </w:pPr>
      <w:r>
        <w:rPr>
          <w:rFonts w:eastAsia="Calibri"/>
          <w:color w:val="000000"/>
          <w:sz w:val="28"/>
          <w:szCs w:val="28"/>
        </w:rPr>
        <w:t>В рамках разработки инвестиционной программы должны быть определены финансовые потребности для ее реализации и источники финансирования.</w:t>
      </w:r>
    </w:p>
    <w:p>
      <w:pPr>
        <w:spacing w:line="360" w:lineRule="auto"/>
        <w:ind w:firstLine="567"/>
        <w:jc w:val="both"/>
        <w:rPr>
          <w:rFonts w:eastAsia="Calibri"/>
          <w:color w:val="000000"/>
          <w:sz w:val="28"/>
          <w:szCs w:val="28"/>
        </w:rPr>
      </w:pPr>
      <w:r>
        <w:rPr>
          <w:rFonts w:eastAsia="Calibri"/>
          <w:color w:val="000000"/>
          <w:sz w:val="28"/>
          <w:szCs w:val="28"/>
        </w:rPr>
        <w:t xml:space="preserve">Утверждение тарифов и принятие решений по выделению бюджетных средств, а также подготовка и проведение конкурсов на привлечение инвесторов, в том числе концессию, принимаются в соответствии с действующим законодательством. </w:t>
      </w:r>
    </w:p>
    <w:p>
      <w:pPr>
        <w:pStyle w:val="3"/>
        <w:numPr>
          <w:ilvl w:val="1"/>
          <w:numId w:val="30"/>
        </w:numPr>
        <w:pBdr>
          <w:bottom w:val="single" w:color="auto" w:sz="12" w:space="0"/>
        </w:pBdr>
        <w:tabs>
          <w:tab w:val="left" w:pos="1134"/>
        </w:tabs>
        <w:spacing w:before="0" w:after="200"/>
        <w:ind w:left="1134" w:hanging="567"/>
        <w:rPr>
          <w:rFonts w:ascii="Times New Roman" w:hAnsi="Times New Roman"/>
          <w:i w:val="0"/>
          <w:color w:val="000000"/>
          <w:sz w:val="30"/>
          <w:szCs w:val="30"/>
        </w:rPr>
      </w:pPr>
      <w:bookmarkStart w:id="63" w:name="_Toc299724235"/>
      <w:bookmarkStart w:id="64" w:name="_Toc299984087"/>
      <w:bookmarkStart w:id="65" w:name="_Toc21015076"/>
      <w:r>
        <w:rPr>
          <w:rFonts w:ascii="Times New Roman" w:hAnsi="Times New Roman"/>
          <w:i w:val="0"/>
          <w:color w:val="000000"/>
          <w:sz w:val="30"/>
          <w:szCs w:val="30"/>
        </w:rPr>
        <w:t>Порядок предоставления отчетности по выполнению Программы</w:t>
      </w:r>
      <w:bookmarkEnd w:id="63"/>
      <w:bookmarkEnd w:id="64"/>
      <w:bookmarkEnd w:id="65"/>
    </w:p>
    <w:p>
      <w:pPr>
        <w:widowControl w:val="0"/>
        <w:tabs>
          <w:tab w:val="left" w:pos="0"/>
        </w:tabs>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Предоставление отчетности осуществляется в рамках мониторинга, целью которого является регулярный контроль за ходом реализации настоящей Про</w:t>
      </w:r>
      <w:bookmarkStart w:id="66" w:name="sub_1"/>
      <w:r>
        <w:rPr>
          <w:rFonts w:eastAsia="Calibri"/>
          <w:color w:val="000000"/>
          <w:sz w:val="28"/>
          <w:szCs w:val="28"/>
        </w:rPr>
        <w:t>граммы.</w:t>
      </w:r>
      <w:bookmarkEnd w:id="66"/>
      <w:r>
        <w:rPr>
          <w:rFonts w:eastAsia="Calibri"/>
          <w:color w:val="000000"/>
          <w:sz w:val="28"/>
          <w:szCs w:val="28"/>
        </w:rPr>
        <w:t xml:space="preserve"> Мониторинг осуществляется на ежеквартальной и ежегодной основе.</w:t>
      </w:r>
    </w:p>
    <w:p>
      <w:pPr>
        <w:widowControl w:val="0"/>
        <w:tabs>
          <w:tab w:val="left" w:pos="0"/>
        </w:tabs>
        <w:autoSpaceDE w:val="0"/>
        <w:autoSpaceDN w:val="0"/>
        <w:adjustRightInd w:val="0"/>
        <w:spacing w:line="360" w:lineRule="auto"/>
        <w:ind w:firstLine="567"/>
        <w:jc w:val="both"/>
        <w:rPr>
          <w:rFonts w:eastAsia="Calibri"/>
          <w:color w:val="000000"/>
          <w:sz w:val="28"/>
          <w:szCs w:val="28"/>
        </w:rPr>
      </w:pPr>
      <w:r>
        <w:rPr>
          <w:rFonts w:eastAsia="Calibri"/>
          <w:color w:val="000000"/>
          <w:sz w:val="28"/>
          <w:szCs w:val="28"/>
        </w:rPr>
        <w:t xml:space="preserve">Порядок предоставления отчетности о ходе выполнения настоящей Программы определен следующим образом: </w:t>
      </w:r>
    </w:p>
    <w:p>
      <w:pPr>
        <w:widowControl w:val="0"/>
        <w:numPr>
          <w:ilvl w:val="0"/>
          <w:numId w:val="63"/>
        </w:numPr>
        <w:tabs>
          <w:tab w:val="left" w:pos="0"/>
        </w:tabs>
        <w:autoSpaceDE w:val="0"/>
        <w:autoSpaceDN w:val="0"/>
        <w:adjustRightInd w:val="0"/>
        <w:spacing w:line="360" w:lineRule="auto"/>
        <w:ind w:left="1134" w:hanging="567"/>
        <w:jc w:val="both"/>
        <w:rPr>
          <w:rFonts w:eastAsia="Calibri"/>
          <w:color w:val="000000"/>
          <w:sz w:val="28"/>
          <w:szCs w:val="28"/>
        </w:rPr>
      </w:pPr>
      <w:r>
        <w:rPr>
          <w:rFonts w:eastAsia="Calibri"/>
          <w:color w:val="000000"/>
          <w:sz w:val="28"/>
          <w:szCs w:val="28"/>
        </w:rPr>
        <w:t xml:space="preserve">Исполнители/заказчики инвестиционных проектов ежеквартально до 10 числа месяца, следующего за отчётным периодом, а также по итогам года до 1 февраля года, следующего за отчетным, представляют в </w:t>
      </w:r>
      <w:r>
        <w:rPr>
          <w:sz w:val="28"/>
          <w:szCs w:val="28"/>
          <w:lang w:eastAsia="ar-SA"/>
        </w:rPr>
        <w:t>отедл жилищно-коммунального хозяйства а</w:t>
      </w:r>
      <w:r>
        <w:rPr>
          <w:spacing w:val="5"/>
          <w:sz w:val="28"/>
          <w:szCs w:val="28"/>
        </w:rPr>
        <w:t>дминистрации</w:t>
      </w:r>
      <w:r>
        <w:rPr>
          <w:rFonts w:eastAsia="Calibri"/>
          <w:color w:val="000000"/>
          <w:sz w:val="28"/>
          <w:szCs w:val="28"/>
        </w:rPr>
        <w:t xml:space="preserve"> отчёты о ходе реализации настоящей Программы. Отчетность в обязательном порядке должна содержать следующую информацию: </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сведения о достигнутых результатах;</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данные о целевом использовании и объемах бюджетных средств и внебюджетных источников;</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сведения о соответствии результатов фактическим затратам на реализацию инвестиционных проектов;</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сведения о соответствии фактических показателей реализации, установленным при утверждении;</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сведения о ходе и полноте выполнения инвестиционных проектов;</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оценку эффективности;</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другую статистическую, справочную и аналитическую информацию, необходмую для мониторинга настоящей Программы.</w:t>
      </w:r>
    </w:p>
    <w:p>
      <w:pPr>
        <w:tabs>
          <w:tab w:val="left" w:pos="1134"/>
        </w:tabs>
        <w:spacing w:line="360" w:lineRule="auto"/>
        <w:ind w:left="1134" w:hanging="567"/>
        <w:jc w:val="both"/>
        <w:rPr>
          <w:rFonts w:eastAsia="Calibri"/>
          <w:color w:val="000000"/>
          <w:sz w:val="28"/>
          <w:szCs w:val="28"/>
        </w:rPr>
      </w:pPr>
      <w:bookmarkStart w:id="67" w:name="sub_164"/>
      <w:r>
        <w:rPr>
          <w:rFonts w:eastAsia="Calibri"/>
          <w:color w:val="000000"/>
          <w:sz w:val="28"/>
          <w:szCs w:val="28"/>
        </w:rPr>
        <w:t xml:space="preserve">2. </w:t>
      </w:r>
      <w:r>
        <w:rPr>
          <w:rFonts w:eastAsia="Calibri"/>
          <w:color w:val="000000"/>
          <w:sz w:val="28"/>
          <w:szCs w:val="28"/>
        </w:rPr>
        <w:tab/>
      </w:r>
      <w:r>
        <w:rPr>
          <w:sz w:val="28"/>
          <w:szCs w:val="28"/>
          <w:lang w:eastAsia="ar-SA"/>
        </w:rPr>
        <w:t>Отдел жилищно-коммунального хозяйства городской а</w:t>
      </w:r>
      <w:r>
        <w:rPr>
          <w:spacing w:val="5"/>
          <w:sz w:val="28"/>
          <w:szCs w:val="28"/>
        </w:rPr>
        <w:t>дминистрации</w:t>
      </w:r>
      <w:r>
        <w:rPr>
          <w:rFonts w:eastAsia="Calibri"/>
          <w:color w:val="000000"/>
          <w:sz w:val="28"/>
          <w:szCs w:val="28"/>
        </w:rPr>
        <w:t xml:space="preserve"> делает сводный отчет о ходе реализации настоящей Программы по итогам ее исполнения за отчетный год и в целом после завершения, который в обязателном порядке содержит следующую информацию:</w:t>
      </w:r>
    </w:p>
    <w:bookmarkEnd w:id="67"/>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оценку достижения запланированных результатов;</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оценку возможностей достижения целевых показателей при установленном уровне финансирования;</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оценку своевременности и полноты финансирования.</w:t>
      </w:r>
    </w:p>
    <w:p>
      <w:pPr>
        <w:spacing w:line="360" w:lineRule="auto"/>
        <w:ind w:left="1134" w:hanging="567"/>
        <w:jc w:val="both"/>
        <w:rPr>
          <w:rFonts w:eastAsia="Calibri"/>
          <w:color w:val="000000"/>
          <w:sz w:val="28"/>
          <w:szCs w:val="28"/>
        </w:rPr>
      </w:pPr>
      <w:r>
        <w:rPr>
          <w:rFonts w:eastAsia="Calibri"/>
          <w:color w:val="000000"/>
          <w:sz w:val="28"/>
          <w:szCs w:val="28"/>
        </w:rPr>
        <w:t xml:space="preserve">3. </w:t>
      </w:r>
      <w:bookmarkStart w:id="68" w:name="sub_166"/>
      <w:r>
        <w:rPr>
          <w:rFonts w:eastAsia="Calibri"/>
          <w:color w:val="000000"/>
          <w:sz w:val="28"/>
          <w:szCs w:val="28"/>
        </w:rPr>
        <w:tab/>
      </w:r>
      <w:r>
        <w:rPr>
          <w:rFonts w:eastAsia="Calibri"/>
          <w:color w:val="000000"/>
          <w:sz w:val="28"/>
          <w:szCs w:val="28"/>
        </w:rPr>
        <w:t xml:space="preserve">По результатам оценки </w:t>
      </w:r>
      <w:r>
        <w:rPr>
          <w:sz w:val="28"/>
          <w:szCs w:val="28"/>
          <w:lang w:eastAsia="ar-SA"/>
        </w:rPr>
        <w:t>отдел жилищно-коммунальному хозяйству А</w:t>
      </w:r>
      <w:r>
        <w:rPr>
          <w:spacing w:val="5"/>
          <w:sz w:val="28"/>
          <w:szCs w:val="28"/>
        </w:rPr>
        <w:t>дминистрации</w:t>
      </w:r>
      <w:r>
        <w:rPr>
          <w:rFonts w:eastAsia="Calibri"/>
          <w:color w:val="000000"/>
          <w:sz w:val="28"/>
          <w:szCs w:val="28"/>
        </w:rPr>
        <w:t xml:space="preserve"> </w:t>
      </w:r>
      <w:r>
        <w:rPr>
          <w:color w:val="000000"/>
          <w:sz w:val="28"/>
          <w:szCs w:val="28"/>
        </w:rPr>
        <w:t>территориального управления Одинцово</w:t>
      </w:r>
      <w:r>
        <w:rPr>
          <w:rFonts w:eastAsia="Calibri"/>
          <w:color w:val="000000"/>
          <w:sz w:val="28"/>
          <w:szCs w:val="28"/>
        </w:rPr>
        <w:t xml:space="preserve"> может быть принято одно из следующих решений:</w:t>
      </w:r>
    </w:p>
    <w:bookmarkEnd w:id="68"/>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 целесообразности продолжения реализации настоящей Программы в случае достижения 80 и более процентов запланированных целевых показателей;</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 целесообразности внесения изменений в настоящу Программу в случае достижения от 40 до 80 процентов запланированных целевых показателей;</w:t>
      </w:r>
    </w:p>
    <w:p>
      <w:pPr>
        <w:numPr>
          <w:ilvl w:val="0"/>
          <w:numId w:val="64"/>
        </w:numPr>
        <w:tabs>
          <w:tab w:val="left" w:pos="1701"/>
        </w:tabs>
        <w:spacing w:line="360" w:lineRule="auto"/>
        <w:ind w:left="1701" w:hanging="567"/>
        <w:jc w:val="both"/>
        <w:rPr>
          <w:rFonts w:eastAsia="Calibri"/>
          <w:color w:val="000000"/>
          <w:sz w:val="28"/>
          <w:szCs w:val="28"/>
        </w:rPr>
      </w:pPr>
      <w:r>
        <w:rPr>
          <w:rFonts w:eastAsia="Calibri"/>
          <w:color w:val="000000"/>
          <w:sz w:val="28"/>
          <w:szCs w:val="28"/>
        </w:rPr>
        <w:t>о нецелесообразности продолжения реализации настоящей Программы в случае достижения менее 40 процентов запланированных целевых показателей.</w:t>
      </w:r>
    </w:p>
    <w:p>
      <w:pPr>
        <w:widowControl w:val="0"/>
        <w:tabs>
          <w:tab w:val="left" w:pos="1134"/>
        </w:tabs>
        <w:autoSpaceDE w:val="0"/>
        <w:autoSpaceDN w:val="0"/>
        <w:adjustRightInd w:val="0"/>
        <w:spacing w:line="360" w:lineRule="auto"/>
        <w:ind w:left="1134" w:hanging="567"/>
        <w:jc w:val="both"/>
        <w:rPr>
          <w:rFonts w:eastAsia="Calibri"/>
          <w:color w:val="000000"/>
          <w:sz w:val="28"/>
          <w:szCs w:val="28"/>
        </w:rPr>
      </w:pPr>
      <w:r>
        <w:rPr>
          <w:rFonts w:eastAsia="Calibri"/>
          <w:color w:val="000000"/>
          <w:sz w:val="28"/>
          <w:szCs w:val="28"/>
        </w:rPr>
        <w:t xml:space="preserve">4. </w:t>
      </w:r>
      <w:r>
        <w:rPr>
          <w:rFonts w:eastAsia="Calibri"/>
          <w:color w:val="000000"/>
          <w:sz w:val="28"/>
          <w:szCs w:val="28"/>
        </w:rPr>
        <w:tab/>
      </w:r>
      <w:r>
        <w:rPr>
          <w:rFonts w:eastAsia="Calibri"/>
          <w:color w:val="000000"/>
          <w:sz w:val="28"/>
          <w:szCs w:val="28"/>
        </w:rPr>
        <w:t xml:space="preserve">По результатам итогового отчета Администрация </w:t>
      </w:r>
      <w:r>
        <w:rPr>
          <w:color w:val="000000"/>
          <w:sz w:val="28"/>
          <w:szCs w:val="28"/>
        </w:rPr>
        <w:t>территориального управления Одинцово</w:t>
      </w:r>
      <w:r>
        <w:rPr>
          <w:rFonts w:eastAsia="Calibri"/>
          <w:color w:val="000000"/>
          <w:sz w:val="28"/>
          <w:szCs w:val="28"/>
        </w:rPr>
        <w:t xml:space="preserve"> принимает решение о целесообразности дальнейшей реализации настоящей Программы.</w:t>
      </w:r>
    </w:p>
    <w:p>
      <w:pPr>
        <w:pStyle w:val="3"/>
        <w:numPr>
          <w:ilvl w:val="1"/>
          <w:numId w:val="30"/>
        </w:numPr>
        <w:pBdr>
          <w:bottom w:val="single" w:color="auto" w:sz="12" w:space="0"/>
        </w:pBdr>
        <w:spacing w:before="0" w:after="200"/>
        <w:ind w:left="1134" w:hanging="567"/>
        <w:rPr>
          <w:rFonts w:ascii="Times New Roman" w:hAnsi="Times New Roman"/>
          <w:i w:val="0"/>
          <w:color w:val="000000"/>
          <w:sz w:val="30"/>
          <w:szCs w:val="30"/>
        </w:rPr>
      </w:pPr>
      <w:bookmarkStart w:id="69" w:name="_Toc299724236"/>
      <w:bookmarkStart w:id="70" w:name="_Toc299984088"/>
      <w:bookmarkStart w:id="71" w:name="_Toc21015077"/>
      <w:r>
        <w:rPr>
          <w:rFonts w:ascii="Times New Roman" w:hAnsi="Times New Roman"/>
          <w:i w:val="0"/>
          <w:color w:val="000000"/>
          <w:sz w:val="30"/>
          <w:szCs w:val="30"/>
        </w:rPr>
        <w:t>Порядок и сроки корректировки Программы</w:t>
      </w:r>
      <w:bookmarkEnd w:id="69"/>
      <w:bookmarkEnd w:id="70"/>
      <w:bookmarkEnd w:id="71"/>
    </w:p>
    <w:p>
      <w:pPr>
        <w:widowControl w:val="0"/>
        <w:tabs>
          <w:tab w:val="left" w:pos="0"/>
        </w:tabs>
        <w:autoSpaceDE w:val="0"/>
        <w:autoSpaceDN w:val="0"/>
        <w:adjustRightInd w:val="0"/>
        <w:spacing w:line="360" w:lineRule="auto"/>
        <w:ind w:firstLine="709"/>
        <w:jc w:val="both"/>
        <w:rPr>
          <w:rFonts w:eastAsia="Calibri"/>
          <w:color w:val="000000"/>
          <w:sz w:val="28"/>
          <w:szCs w:val="28"/>
        </w:rPr>
      </w:pPr>
      <w:bookmarkStart w:id="72" w:name="sub_1601"/>
      <w:r>
        <w:rPr>
          <w:rFonts w:eastAsia="Calibri"/>
          <w:color w:val="000000"/>
          <w:sz w:val="28"/>
          <w:szCs w:val="28"/>
        </w:rPr>
        <w:t xml:space="preserve">Порядок корректировки настоящей Программы определен следующим образом: </w:t>
      </w:r>
    </w:p>
    <w:p>
      <w:pPr>
        <w:widowControl w:val="0"/>
        <w:numPr>
          <w:ilvl w:val="0"/>
          <w:numId w:val="65"/>
        </w:numPr>
        <w:tabs>
          <w:tab w:val="left" w:pos="0"/>
        </w:tabs>
        <w:autoSpaceDE w:val="0"/>
        <w:autoSpaceDN w:val="0"/>
        <w:adjustRightInd w:val="0"/>
        <w:spacing w:line="360" w:lineRule="auto"/>
        <w:ind w:left="1134" w:hanging="567"/>
        <w:jc w:val="both"/>
        <w:rPr>
          <w:rFonts w:eastAsia="Calibri"/>
          <w:color w:val="000000"/>
          <w:sz w:val="28"/>
          <w:szCs w:val="28"/>
        </w:rPr>
      </w:pPr>
      <w:r>
        <w:rPr>
          <w:rFonts w:eastAsia="Calibri"/>
          <w:color w:val="000000"/>
          <w:sz w:val="28"/>
          <w:szCs w:val="28"/>
        </w:rPr>
        <w:t>Корректировка осуществляется в следующих случаях:</w:t>
      </w:r>
    </w:p>
    <w:bookmarkEnd w:id="72"/>
    <w:p>
      <w:pPr>
        <w:widowControl w:val="0"/>
        <w:numPr>
          <w:ilvl w:val="0"/>
          <w:numId w:val="66"/>
        </w:numPr>
        <w:tabs>
          <w:tab w:val="left" w:pos="0"/>
          <w:tab w:val="left" w:pos="1701"/>
        </w:tabs>
        <w:autoSpaceDE w:val="0"/>
        <w:autoSpaceDN w:val="0"/>
        <w:adjustRightInd w:val="0"/>
        <w:spacing w:line="360" w:lineRule="auto"/>
        <w:ind w:left="1701" w:hanging="567"/>
        <w:jc w:val="both"/>
        <w:rPr>
          <w:rFonts w:eastAsia="Calibri"/>
          <w:color w:val="000000"/>
          <w:sz w:val="28"/>
          <w:szCs w:val="28"/>
        </w:rPr>
      </w:pPr>
      <w:r>
        <w:rPr>
          <w:rFonts w:eastAsia="Calibri"/>
          <w:color w:val="000000"/>
          <w:sz w:val="28"/>
          <w:szCs w:val="28"/>
        </w:rPr>
        <w:t xml:space="preserve">установления в ходе мониторинга невозможности достижения целевых показателей; </w:t>
      </w:r>
    </w:p>
    <w:p>
      <w:pPr>
        <w:widowControl w:val="0"/>
        <w:numPr>
          <w:ilvl w:val="0"/>
          <w:numId w:val="66"/>
        </w:numPr>
        <w:tabs>
          <w:tab w:val="left" w:pos="0"/>
          <w:tab w:val="left" w:pos="1701"/>
        </w:tabs>
        <w:autoSpaceDE w:val="0"/>
        <w:autoSpaceDN w:val="0"/>
        <w:adjustRightInd w:val="0"/>
        <w:spacing w:line="360" w:lineRule="auto"/>
        <w:ind w:left="1701" w:hanging="567"/>
        <w:jc w:val="both"/>
        <w:rPr>
          <w:rFonts w:eastAsia="Calibri"/>
          <w:color w:val="000000"/>
          <w:sz w:val="28"/>
          <w:szCs w:val="28"/>
        </w:rPr>
      </w:pPr>
      <w:r>
        <w:rPr>
          <w:rFonts w:eastAsia="Calibri"/>
          <w:color w:val="000000"/>
          <w:sz w:val="28"/>
          <w:szCs w:val="28"/>
        </w:rPr>
        <w:t>значительного отклонения от запланированных показателей;</w:t>
      </w:r>
    </w:p>
    <w:p>
      <w:pPr>
        <w:widowControl w:val="0"/>
        <w:numPr>
          <w:ilvl w:val="0"/>
          <w:numId w:val="66"/>
        </w:numPr>
        <w:tabs>
          <w:tab w:val="left" w:pos="0"/>
          <w:tab w:val="left" w:pos="1701"/>
        </w:tabs>
        <w:autoSpaceDE w:val="0"/>
        <w:autoSpaceDN w:val="0"/>
        <w:adjustRightInd w:val="0"/>
        <w:spacing w:line="360" w:lineRule="auto"/>
        <w:ind w:left="1701" w:hanging="567"/>
        <w:jc w:val="both"/>
        <w:rPr>
          <w:rFonts w:eastAsia="Calibri"/>
          <w:color w:val="000000"/>
          <w:sz w:val="28"/>
          <w:szCs w:val="28"/>
        </w:rPr>
      </w:pPr>
      <w:r>
        <w:rPr>
          <w:rFonts w:eastAsia="Calibri"/>
          <w:color w:val="000000"/>
          <w:sz w:val="28"/>
          <w:szCs w:val="28"/>
        </w:rPr>
        <w:t>сокращения объемов финансирования;</w:t>
      </w:r>
    </w:p>
    <w:p>
      <w:pPr>
        <w:widowControl w:val="0"/>
        <w:numPr>
          <w:ilvl w:val="0"/>
          <w:numId w:val="66"/>
        </w:numPr>
        <w:tabs>
          <w:tab w:val="left" w:pos="0"/>
          <w:tab w:val="left" w:pos="1701"/>
        </w:tabs>
        <w:autoSpaceDE w:val="0"/>
        <w:autoSpaceDN w:val="0"/>
        <w:adjustRightInd w:val="0"/>
        <w:spacing w:line="360" w:lineRule="auto"/>
        <w:ind w:left="1701" w:hanging="567"/>
        <w:jc w:val="both"/>
        <w:rPr>
          <w:rFonts w:eastAsia="Calibri"/>
          <w:color w:val="000000"/>
          <w:sz w:val="28"/>
          <w:szCs w:val="28"/>
        </w:rPr>
      </w:pPr>
      <w:r>
        <w:rPr>
          <w:rFonts w:eastAsia="Calibri"/>
          <w:color w:val="000000"/>
          <w:sz w:val="28"/>
          <w:szCs w:val="28"/>
        </w:rPr>
        <w:t xml:space="preserve">исключения из компетенции Администрации </w:t>
      </w:r>
      <w:r>
        <w:rPr>
          <w:color w:val="000000"/>
          <w:sz w:val="28"/>
          <w:szCs w:val="28"/>
        </w:rPr>
        <w:t>территориального управления Одинцово</w:t>
      </w:r>
      <w:r>
        <w:rPr>
          <w:rFonts w:eastAsia="Calibri"/>
          <w:color w:val="000000"/>
          <w:sz w:val="28"/>
          <w:szCs w:val="28"/>
        </w:rPr>
        <w:t xml:space="preserve"> полномочий, в соответствии с которыми реализуется настоящая Программа.</w:t>
      </w:r>
    </w:p>
    <w:p>
      <w:pPr>
        <w:widowControl w:val="0"/>
        <w:numPr>
          <w:ilvl w:val="0"/>
          <w:numId w:val="65"/>
        </w:numPr>
        <w:tabs>
          <w:tab w:val="left" w:pos="0"/>
        </w:tabs>
        <w:autoSpaceDE w:val="0"/>
        <w:autoSpaceDN w:val="0"/>
        <w:adjustRightInd w:val="0"/>
        <w:spacing w:line="360" w:lineRule="auto"/>
        <w:ind w:left="1134" w:hanging="567"/>
        <w:jc w:val="both"/>
        <w:rPr>
          <w:rFonts w:eastAsia="Calibri"/>
          <w:color w:val="000000"/>
          <w:sz w:val="28"/>
          <w:szCs w:val="28"/>
        </w:rPr>
      </w:pPr>
      <w:bookmarkStart w:id="73" w:name="sub_1602"/>
      <w:r>
        <w:rPr>
          <w:rFonts w:eastAsia="Calibri"/>
          <w:color w:val="000000"/>
          <w:sz w:val="28"/>
          <w:szCs w:val="28"/>
        </w:rPr>
        <w:t xml:space="preserve">Изменения в настоящую Программу вносятся  </w:t>
      </w:r>
      <w:r>
        <w:rPr>
          <w:sz w:val="28"/>
          <w:szCs w:val="28"/>
          <w:lang w:eastAsia="ar-SA"/>
        </w:rPr>
        <w:t>отделом жилищно-коммунального хозяйствау А</w:t>
      </w:r>
      <w:r>
        <w:rPr>
          <w:spacing w:val="5"/>
          <w:sz w:val="28"/>
          <w:szCs w:val="28"/>
        </w:rPr>
        <w:t xml:space="preserve">дминистрации </w:t>
      </w:r>
      <w:r>
        <w:rPr>
          <w:color w:val="000000"/>
          <w:sz w:val="28"/>
          <w:szCs w:val="28"/>
        </w:rPr>
        <w:t xml:space="preserve">территориального управления Одинцово </w:t>
      </w:r>
      <w:r>
        <w:rPr>
          <w:rFonts w:eastAsia="Calibri"/>
          <w:color w:val="000000"/>
          <w:sz w:val="28"/>
          <w:szCs w:val="28"/>
        </w:rPr>
        <w:t xml:space="preserve">после их согласования с другими структурными подразделениями Администрации </w:t>
      </w:r>
      <w:r>
        <w:rPr>
          <w:color w:val="000000"/>
          <w:sz w:val="28"/>
          <w:szCs w:val="28"/>
        </w:rPr>
        <w:t>территориального управления Одинцово</w:t>
      </w:r>
      <w:r>
        <w:rPr>
          <w:rFonts w:eastAsia="Calibri"/>
          <w:color w:val="000000"/>
          <w:sz w:val="28"/>
          <w:szCs w:val="28"/>
        </w:rPr>
        <w:t xml:space="preserve"> и исполнителями инвестиционных проектов. </w:t>
      </w:r>
    </w:p>
    <w:bookmarkEnd w:id="73"/>
    <w:p>
      <w:pPr>
        <w:widowControl w:val="0"/>
        <w:tabs>
          <w:tab w:val="left" w:pos="1276"/>
        </w:tabs>
        <w:autoSpaceDE w:val="0"/>
        <w:autoSpaceDN w:val="0"/>
        <w:adjustRightInd w:val="0"/>
        <w:spacing w:line="360" w:lineRule="auto"/>
        <w:ind w:left="1134" w:hanging="567"/>
        <w:jc w:val="both"/>
      </w:pPr>
      <w:r>
        <w:rPr>
          <w:rFonts w:eastAsia="Calibri"/>
          <w:color w:val="000000"/>
          <w:sz w:val="28"/>
          <w:szCs w:val="28"/>
        </w:rPr>
        <w:t xml:space="preserve">3. </w:t>
      </w:r>
      <w:r>
        <w:rPr>
          <w:rFonts w:eastAsia="Calibri"/>
          <w:color w:val="000000"/>
          <w:sz w:val="28"/>
          <w:szCs w:val="28"/>
        </w:rPr>
        <w:tab/>
      </w:r>
      <w:r>
        <w:rPr>
          <w:rFonts w:eastAsia="Calibri"/>
          <w:color w:val="000000"/>
          <w:sz w:val="28"/>
          <w:szCs w:val="28"/>
        </w:rPr>
        <w:t xml:space="preserve">Решение о корректировке настоящей Программы принимает Администрация </w:t>
      </w:r>
      <w:r>
        <w:rPr>
          <w:color w:val="000000"/>
          <w:sz w:val="28"/>
          <w:szCs w:val="28"/>
        </w:rPr>
        <w:t>территориального управления Одинцово</w:t>
      </w:r>
      <w:r>
        <w:rPr>
          <w:rFonts w:eastAsia="Calibri"/>
          <w:color w:val="000000"/>
          <w:sz w:val="28"/>
          <w:szCs w:val="28"/>
        </w:rPr>
        <w:t xml:space="preserve">.  </w:t>
      </w:r>
      <w:bookmarkEnd w:id="8"/>
      <w:bookmarkEnd w:id="9"/>
    </w:p>
    <w:sectPr>
      <w:headerReference r:id="rId12" w:type="default"/>
      <w:pgSz w:w="11906" w:h="16838"/>
      <w:pgMar w:top="851" w:right="1134" w:bottom="1134" w:left="1276" w:header="709" w:footer="709" w:gutter="0"/>
      <w:cols w:space="708"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Arial">
    <w:panose1 w:val="020B0604020202020204"/>
    <w:charset w:val="CC"/>
    <w:family w:val="swiss"/>
    <w:pitch w:val="default"/>
    <w:sig w:usb0="E0002AFF" w:usb1="C0007843" w:usb2="00000009" w:usb3="00000000" w:csb0="400001FF" w:csb1="FFFF0000"/>
  </w:font>
  <w:font w:name="Courier New">
    <w:panose1 w:val="02070309020205020404"/>
    <w:charset w:val="CC"/>
    <w:family w:val="modern"/>
    <w:pitch w:val="default"/>
    <w:sig w:usb0="E0002AFF" w:usb1="C0007843" w:usb2="00000009" w:usb3="00000000" w:csb0="400001FF" w:csb1="FFFF0000"/>
  </w:font>
  <w:font w:name="Times">
    <w:altName w:val="Times New Roman"/>
    <w:panose1 w:val="02020603050405020304"/>
    <w:charset w:val="CC"/>
    <w:family w:val="roman"/>
    <w:pitch w:val="default"/>
    <w:sig w:usb0="00000000" w:usb1="00000000" w:usb2="00000009" w:usb3="00000000" w:csb0="000001FF" w:csb1="00000000"/>
  </w:font>
  <w:font w:name="Lucidasans">
    <w:altName w:val="Times New Roman"/>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HG Mincho Light J">
    <w:altName w:val="Times New Roman"/>
    <w:panose1 w:val="00000000000000000000"/>
    <w:charset w:val="00"/>
    <w:family w:val="auto"/>
    <w:pitch w:val="default"/>
    <w:sig w:usb0="00000000" w:usb1="00000000" w:usb2="00000000" w:usb3="00000000" w:csb0="00000001"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10006FF" w:usb1="4000205B" w:usb2="00000010" w:usb3="00000000" w:csb0="2000019F" w:csb1="00000000"/>
  </w:font>
  <w:font w:name="Century Gothic">
    <w:panose1 w:val="020B0502020202020204"/>
    <w:charset w:val="CC"/>
    <w:family w:val="swiss"/>
    <w:pitch w:val="default"/>
    <w:sig w:usb0="00000287" w:usb1="00000000" w:usb2="00000000" w:usb3="00000000" w:csb0="2000009F" w:csb1="DFD70000"/>
  </w:font>
  <w:font w:name="Arial Unicode MS">
    <w:panose1 w:val="020B0604020202020204"/>
    <w:charset w:val="80"/>
    <w:family w:val="swiss"/>
    <w:pitch w:val="default"/>
    <w:sig w:usb0="FFFFFFFF" w:usb1="E9FFFFFF" w:usb2="0000003F" w:usb3="00000000" w:csb0="603F01FF" w:csb1="FFFF0000"/>
  </w:font>
  <w:font w:name="Andale Sans UI">
    <w:altName w:val="Arial Unicode MS"/>
    <w:panose1 w:val="00000000000000000000"/>
    <w:charset w:val="00"/>
    <w:family w:val="auto"/>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StarSymbol">
    <w:altName w:val="Arial Unicode MS"/>
    <w:panose1 w:val="00000000000000000000"/>
    <w:charset w:val="80"/>
    <w:family w:val="auto"/>
    <w:pitch w:val="default"/>
    <w:sig w:usb0="00000000" w:usb1="00000000" w:usb2="00000010" w:usb3="00000000" w:csb0="00020000" w:csb1="00000000"/>
  </w:font>
  <w:font w:name="ISOCPEUR">
    <w:altName w:val="Segoe Print"/>
    <w:panose1 w:val="00000000000000000000"/>
    <w:charset w:val="CC"/>
    <w:family w:val="swiss"/>
    <w:pitch w:val="default"/>
    <w:sig w:usb0="00000000" w:usb1="00000000" w:usb2="00000000" w:usb3="00000000" w:csb0="0000009F" w:csb1="00000000"/>
  </w:font>
  <w:font w:name="TimesDL">
    <w:altName w:val="Times New Roman"/>
    <w:panose1 w:val="00000000000000000000"/>
    <w:charset w:val="00"/>
    <w:family w:val="auto"/>
    <w:pitch w:val="default"/>
    <w:sig w:usb0="00000000" w:usb1="00000000" w:usb2="00000000" w:usb3="00000000" w:csb0="00000001" w:csb1="00000000"/>
  </w:font>
  <w:font w:name="Georgia">
    <w:panose1 w:val="02040502050405020303"/>
    <w:charset w:val="CC"/>
    <w:family w:val="roman"/>
    <w:pitch w:val="default"/>
    <w:sig w:usb0="00000287" w:usb1="00000000" w:usb2="00000000" w:usb3="00000000" w:csb0="2000009F" w:csb1="00000000"/>
  </w:font>
  <w:font w:name="Candara">
    <w:panose1 w:val="020E0502030303020204"/>
    <w:charset w:val="CC"/>
    <w:family w:val="swiss"/>
    <w:pitch w:val="default"/>
    <w:sig w:usb0="A00002EF" w:usb1="4000A44B" w:usb2="00000000" w:usb3="00000000" w:csb0="2000019F" w:csb1="00000000"/>
  </w:font>
  <w:font w:name="OpenSymbol">
    <w:altName w:val="Segoe Print"/>
    <w:panose1 w:val="00000000000000000000"/>
    <w:charset w:val="00"/>
    <w:family w:val="auto"/>
    <w:pitch w:val="default"/>
    <w:sig w:usb0="00000000" w:usb1="00000000" w:usb2="00000000" w:usb3="00000000" w:csb0="00000001" w:csb1="00000000"/>
  </w:font>
  <w:font w:name="Mangal">
    <w:panose1 w:val="02040503050203030202"/>
    <w:charset w:val="01"/>
    <w:family w:val="roman"/>
    <w:pitch w:val="default"/>
    <w:sig w:usb0="00008003" w:usb1="00000000" w:usb2="00000000" w:usb3="00000000" w:csb0="00000001" w:csb1="00000000"/>
  </w:font>
  <w:font w:name="Arial CYR">
    <w:altName w:val="Arial"/>
    <w:panose1 w:val="020B0604020202020204"/>
    <w:charset w:val="CC"/>
    <w:family w:val="swiss"/>
    <w:pitch w:val="default"/>
    <w:sig w:usb0="00000000" w:usb1="00000000" w:usb2="00000009" w:usb3="00000000" w:csb0="000001FF" w:csb1="00000000"/>
  </w:font>
  <w:font w:name="MS Sans Serif">
    <w:altName w:val="Arial"/>
    <w:panose1 w:val="00000000000000000000"/>
    <w:charset w:val="00"/>
    <w:family w:val="swiss"/>
    <w:pitch w:val="default"/>
    <w:sig w:usb0="00000000" w:usb1="00000000" w:usb2="00000000" w:usb3="00000000" w:csb0="00000001" w:csb1="00000000"/>
  </w:font>
  <w:font w:name="Consolas">
    <w:panose1 w:val="020B0609020204030204"/>
    <w:charset w:val="CC"/>
    <w:family w:val="modern"/>
    <w:pitch w:val="default"/>
    <w:sig w:usb0="E10002FF" w:usb1="4000FCFF" w:usb2="00000009" w:usb3="00000000" w:csb0="6000019F" w:csb1="DFD70000"/>
  </w:font>
  <w:font w:name="Liberation Serif">
    <w:altName w:val="Times New Roman"/>
    <w:panose1 w:val="00000000000000000000"/>
    <w:charset w:val="CC"/>
    <w:family w:val="roman"/>
    <w:pitch w:val="default"/>
    <w:sig w:usb0="00000000" w:usb1="00000000" w:usb2="00000021" w:usb3="00000000" w:csb0="000001BF" w:csb1="00000000"/>
  </w:font>
  <w:font w:name="DejaVu Sans">
    <w:altName w:val="Segoe Print"/>
    <w:panose1 w:val="00000000000000000000"/>
    <w:charset w:val="CC"/>
    <w:family w:val="swiss"/>
    <w:pitch w:val="default"/>
    <w:sig w:usb0="00000000" w:usb1="00000000" w:usb2="0A246029" w:usb3="00000000" w:csb0="000001FF" w:csb1="00000000"/>
  </w:font>
  <w:font w:name="Garamond">
    <w:panose1 w:val="02020404030301010803"/>
    <w:charset w:val="CC"/>
    <w:family w:val="roman"/>
    <w:pitch w:val="default"/>
    <w:sig w:usb0="00000287" w:usb1="00000000" w:usb2="00000000" w:usb3="00000000" w:csb0="0000009F" w:csb1="DFD70000"/>
  </w:font>
  <w:font w:name="Cambria Math">
    <w:panose1 w:val="02040503050406030204"/>
    <w:charset w:val="CC"/>
    <w:family w:val="roman"/>
    <w:pitch w:val="default"/>
    <w:sig w:usb0="E00002FF" w:usb1="420024FF" w:usb2="00000000" w:usb3="00000000" w:csb0="2000019F" w:csb1="00000000"/>
  </w:font>
  <w:font w:name="Arial Narrow">
    <w:panose1 w:val="020B0606020202030204"/>
    <w:charset w:val="CC"/>
    <w:family w:val="swiss"/>
    <w:pitch w:val="default"/>
    <w:sig w:usb0="00000287" w:usb1="00000800" w:usb2="00000000" w:usb3="00000000" w:csb0="2000009F" w:csb1="DFD70000"/>
  </w:font>
  <w:font w:name="MS Mincho">
    <w:panose1 w:val="02020609040205080304"/>
    <w:charset w:val="80"/>
    <w:family w:val="roman"/>
    <w:pitch w:val="default"/>
    <w:sig w:usb0="E00002FF" w:usb1="6AC7FDFB" w:usb2="08000012" w:usb3="00000000" w:csb0="4002009F" w:csb1="DFD70000"/>
  </w:font>
  <w:font w:name="TimesNewRoman">
    <w:altName w:val="MS Gothic"/>
    <w:panose1 w:val="00000000000000000000"/>
    <w:charset w:val="80"/>
    <w:family w:val="auto"/>
    <w:pitch w:val="default"/>
    <w:sig w:usb0="00000000" w:usb1="00000000" w:usb2="00000010" w:usb3="00000000" w:csb0="00020005"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808080" w:sz="12" w:space="1"/>
      </w:pBdr>
      <w:spacing w:before="240"/>
      <w:ind w:right="-142"/>
      <w:jc w:val="right"/>
      <w:rPr>
        <w:rFonts w:ascii="Cambria" w:hAnsi="Cambria"/>
        <w:b/>
        <w:sz w:val="28"/>
        <w:szCs w:val="28"/>
      </w:rPr>
    </w:pPr>
    <w:r>
      <w:rPr>
        <w:rFonts w:ascii="Cambria" w:hAnsi="Cambria"/>
        <w:b/>
        <w:sz w:val="28"/>
        <w:szCs w:val="28"/>
      </w:rPr>
      <w:drawing>
        <wp:anchor distT="0" distB="0" distL="114935" distR="114935" simplePos="0" relativeHeight="251648000" behindDoc="0" locked="0" layoutInCell="1" allowOverlap="1">
          <wp:simplePos x="0" y="0"/>
          <wp:positionH relativeFrom="column">
            <wp:posOffset>-36195</wp:posOffset>
          </wp:positionH>
          <wp:positionV relativeFrom="paragraph">
            <wp:posOffset>194945</wp:posOffset>
          </wp:positionV>
          <wp:extent cx="274320" cy="215900"/>
          <wp:effectExtent l="19050" t="0" r="0" b="0"/>
          <wp:wrapNone/>
          <wp:docPr id="40"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94"/>
                  <pic:cNvPicPr>
                    <a:picLocks noChangeAspect="1" noChangeArrowheads="1"/>
                  </pic:cNvPicPr>
                </pic:nvPicPr>
                <pic:blipFill>
                  <a:blip r:embed="rId1"/>
                  <a:srcRect l="2937" t="21849" r="82249" b="59741"/>
                  <a:stretch>
                    <a:fillRect/>
                  </a:stretch>
                </pic:blipFill>
                <pic:spPr>
                  <a:xfrm>
                    <a:off x="0" y="0"/>
                    <a:ext cx="274320" cy="215900"/>
                  </a:xfrm>
                  <a:prstGeom prst="rect">
                    <a:avLst/>
                  </a:prstGeom>
                  <a:solidFill>
                    <a:srgbClr val="FFFFFF"/>
                  </a:solidFill>
                  <a:ln w="9525">
                    <a:noFill/>
                    <a:miter lim="800000"/>
                    <a:headEnd/>
                    <a:tailEnd/>
                  </a:ln>
                </pic:spPr>
              </pic:pic>
            </a:graphicData>
          </a:graphic>
        </wp:anchor>
      </w:drawing>
    </w:r>
    <w:r>
      <w:rPr>
        <w:rFonts w:ascii="Cambria" w:hAnsi="Cambria"/>
        <w:b/>
        <w:sz w:val="28"/>
        <w:szCs w:val="28"/>
      </w:rPr>
      <mc:AlternateContent>
        <mc:Choice Requires="wps">
          <w:drawing>
            <wp:anchor distT="0" distB="0" distL="114300" distR="114300" simplePos="0" relativeHeight="251656192" behindDoc="0" locked="0" layoutInCell="1" allowOverlap="1">
              <wp:simplePos x="0" y="0"/>
              <wp:positionH relativeFrom="column">
                <wp:posOffset>260350</wp:posOffset>
              </wp:positionH>
              <wp:positionV relativeFrom="paragraph">
                <wp:posOffset>186690</wp:posOffset>
              </wp:positionV>
              <wp:extent cx="1859280" cy="133985"/>
              <wp:effectExtent l="0" t="0" r="7620" b="0"/>
              <wp:wrapNone/>
              <wp:docPr id="7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59280" cy="133985"/>
                      </a:xfrm>
                      <a:prstGeom prst="rect">
                        <a:avLst/>
                      </a:prstGeom>
                      <a:solidFill>
                        <a:srgbClr val="FFFFFF"/>
                      </a:solidFill>
                      <a:ln>
                        <a:noFill/>
                      </a:ln>
                    </wps:spPr>
                    <wps:txbx>
                      <w:txbxContent>
                        <w:p>
                          <w:pPr>
                            <w:rPr>
                              <w:rFonts w:ascii="Cambria" w:hAnsi="Cambria"/>
                              <w:b/>
                              <w:sz w:val="18"/>
                              <w:szCs w:val="18"/>
                            </w:rPr>
                          </w:pPr>
                          <w:r>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anchor>
          </w:drawing>
        </mc:Choice>
        <mc:Fallback>
          <w:pict>
            <v:shape id="Text Box 2" o:spid="_x0000_s1026" o:spt="202" type="#_x0000_t202" style="position:absolute;left:0pt;margin-left:20.5pt;margin-top:14.7pt;height:10.55pt;width:146.4pt;z-index:251656192;mso-width-relative:page;mso-height-relative:page;" fillcolor="#FFFFFF" filled="t" stroked="f" coordsize="21600,21600" o:gfxdata="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LdGv2QAAAAgBAAAPAAAAAAAAAAEAIAAAACIAAABkcnMvZG93bnJldi54bWxQ&#10;SwECFAAUAAAACACHTuJAEDaLG/YBAADgAwAADgAAAAAAAAABACAAAAAoAQAAZHJzL2Uyb0RvYy54&#10;bWxQSwUGAAAAAAYABgBZAQAAkAUAAAAA&#10;">
              <v:fill on="t" focussize="0,0"/>
              <v:stroke on="f"/>
              <v:imagedata o:title=""/>
              <o:lock v:ext="edit" aspectratio="f"/>
              <v:textbox inset="0mm,0mm,0mm,0mm" style="mso-fit-shape-to-text:t;">
                <w:txbxContent>
                  <w:p>
                    <w:pPr>
                      <w:rPr>
                        <w:rFonts w:ascii="Cambria" w:hAnsi="Cambria"/>
                        <w:b/>
                        <w:sz w:val="18"/>
                        <w:szCs w:val="18"/>
                      </w:rPr>
                    </w:pPr>
                    <w:r>
                      <w:rPr>
                        <w:rFonts w:ascii="Cambria" w:hAnsi="Cambria"/>
                        <w:b/>
                        <w:sz w:val="18"/>
                        <w:szCs w:val="18"/>
                      </w:rPr>
                      <w:t>Центр теплоэнергосбережений</w:t>
                    </w:r>
                  </w:p>
                </w:txbxContent>
              </v:textbox>
            </v:shape>
          </w:pict>
        </mc:Fallback>
      </mc:AlternateContent>
    </w:r>
    <w:r>
      <w:rPr>
        <w:rFonts w:ascii="Cambria" w:hAnsi="Cambria"/>
        <w:b/>
        <w:sz w:val="28"/>
        <w:szCs w:val="28"/>
      </w:rPr>
      <w:fldChar w:fldCharType="begin"/>
    </w:r>
    <w:r>
      <w:rPr>
        <w:rFonts w:ascii="Cambria" w:hAnsi="Cambria"/>
        <w:b/>
        <w:sz w:val="28"/>
        <w:szCs w:val="28"/>
      </w:rPr>
      <w:instrText xml:space="preserve"> PAGE   \* MERGEFORMAT </w:instrText>
    </w:r>
    <w:r>
      <w:rPr>
        <w:rFonts w:ascii="Cambria" w:hAnsi="Cambria"/>
        <w:b/>
        <w:sz w:val="28"/>
        <w:szCs w:val="28"/>
      </w:rPr>
      <w:fldChar w:fldCharType="separate"/>
    </w:r>
    <w:r>
      <w:rPr>
        <w:rFonts w:ascii="Cambria" w:hAnsi="Cambria"/>
        <w:b/>
        <w:sz w:val="28"/>
        <w:szCs w:val="28"/>
      </w:rPr>
      <w:t>4</w:t>
    </w:r>
    <w:r>
      <w:rPr>
        <w:rFonts w:ascii="Cambria" w:hAnsi="Cambria"/>
        <w:b/>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6959193"/>
      <w:docPartObj>
        <w:docPartGallery w:val="AutoText"/>
      </w:docPartObj>
    </w:sdtPr>
    <w:sdtContent>
      <w:p>
        <w:pPr>
          <w:pStyle w:val="67"/>
          <w:jc w:val="right"/>
        </w:pPr>
        <w:r>
          <w:fldChar w:fldCharType="begin"/>
        </w:r>
        <w:r>
          <w:instrText xml:space="preserve">PAGE   \* MERGEFORMAT</w:instrText>
        </w:r>
        <w:r>
          <w:fldChar w:fldCharType="separate"/>
        </w:r>
        <w:r>
          <w:t>1</w:t>
        </w:r>
        <w:r>
          <w:fldChar w:fldCharType="end"/>
        </w:r>
      </w:p>
    </w:sdtContent>
  </w:sdt>
  <w:p>
    <w:pPr>
      <w:pBdr>
        <w:top w:val="single" w:color="808080" w:sz="12" w:space="1"/>
      </w:pBdr>
      <w:spacing w:before="240"/>
      <w:rPr>
        <w:rFonts w:ascii="Cambria" w:hAnsi="Cambria"/>
        <w:b/>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808080" w:sz="12" w:space="1"/>
      </w:pBdr>
      <w:spacing w:before="240"/>
      <w:jc w:val="right"/>
      <w:rPr>
        <w:rFonts w:ascii="Cambria" w:hAnsi="Cambria"/>
        <w:b/>
        <w:sz w:val="28"/>
        <w:szCs w:val="28"/>
      </w:rPr>
    </w:pPr>
    <w:r>
      <w:rPr>
        <w:rFonts w:ascii="Cambria" w:hAnsi="Cambria"/>
        <w:b/>
        <w:sz w:val="28"/>
        <w:szCs w:val="28"/>
      </w:rPr>
      <w:drawing>
        <wp:anchor distT="0" distB="0" distL="114935" distR="114935" simplePos="0" relativeHeight="251661312" behindDoc="0" locked="0" layoutInCell="1" allowOverlap="1">
          <wp:simplePos x="0" y="0"/>
          <wp:positionH relativeFrom="column">
            <wp:posOffset>-36195</wp:posOffset>
          </wp:positionH>
          <wp:positionV relativeFrom="paragraph">
            <wp:posOffset>194945</wp:posOffset>
          </wp:positionV>
          <wp:extent cx="274320" cy="215900"/>
          <wp:effectExtent l="19050" t="0" r="0" b="0"/>
          <wp:wrapNone/>
          <wp:docPr id="6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94"/>
                  <pic:cNvPicPr>
                    <a:picLocks noChangeAspect="1" noChangeArrowheads="1"/>
                  </pic:cNvPicPr>
                </pic:nvPicPr>
                <pic:blipFill>
                  <a:blip r:embed="rId1"/>
                  <a:srcRect l="2937" t="21849" r="82249" b="59741"/>
                  <a:stretch>
                    <a:fillRect/>
                  </a:stretch>
                </pic:blipFill>
                <pic:spPr>
                  <a:xfrm>
                    <a:off x="0" y="0"/>
                    <a:ext cx="274320" cy="215900"/>
                  </a:xfrm>
                  <a:prstGeom prst="rect">
                    <a:avLst/>
                  </a:prstGeom>
                  <a:solidFill>
                    <a:srgbClr val="FFFFFF"/>
                  </a:solidFill>
                  <a:ln w="9525">
                    <a:noFill/>
                    <a:miter lim="800000"/>
                    <a:headEnd/>
                    <a:tailEnd/>
                  </a:ln>
                </pic:spPr>
              </pic:pic>
            </a:graphicData>
          </a:graphic>
        </wp:anchor>
      </w:drawing>
    </w:r>
    <w:r>
      <w:rPr>
        <w:rFonts w:ascii="Cambria" w:hAnsi="Cambria"/>
        <w:b/>
        <w:sz w:val="28"/>
        <w:szCs w:val="28"/>
      </w:rPr>
      <mc:AlternateContent>
        <mc:Choice Requires="wps">
          <w:drawing>
            <wp:anchor distT="0" distB="0" distL="114300" distR="114300" simplePos="0" relativeHeight="251667456" behindDoc="0" locked="0" layoutInCell="1" allowOverlap="1">
              <wp:simplePos x="0" y="0"/>
              <wp:positionH relativeFrom="column">
                <wp:posOffset>260350</wp:posOffset>
              </wp:positionH>
              <wp:positionV relativeFrom="paragraph">
                <wp:posOffset>186690</wp:posOffset>
              </wp:positionV>
              <wp:extent cx="1859280" cy="133985"/>
              <wp:effectExtent l="0" t="0" r="7620" b="0"/>
              <wp:wrapNone/>
              <wp:docPr id="7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59280" cy="133985"/>
                      </a:xfrm>
                      <a:prstGeom prst="rect">
                        <a:avLst/>
                      </a:prstGeom>
                      <a:solidFill>
                        <a:srgbClr val="FFFFFF"/>
                      </a:solidFill>
                      <a:ln>
                        <a:noFill/>
                      </a:ln>
                    </wps:spPr>
                    <wps:txbx>
                      <w:txbxContent>
                        <w:p>
                          <w:pPr>
                            <w:rPr>
                              <w:rFonts w:ascii="Cambria" w:hAnsi="Cambria"/>
                              <w:b/>
                              <w:sz w:val="18"/>
                              <w:szCs w:val="18"/>
                            </w:rPr>
                          </w:pPr>
                          <w:r>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anchor>
          </w:drawing>
        </mc:Choice>
        <mc:Fallback>
          <w:pict>
            <v:shape id="Text Box 2" o:spid="_x0000_s1026" o:spt="202" type="#_x0000_t202" style="position:absolute;left:0pt;margin-left:20.5pt;margin-top:14.7pt;height:10.55pt;width:146.4pt;z-index:251667456;mso-width-relative:page;mso-height-relative:page;" fillcolor="#FFFFFF" filled="t" stroked="f" coordsize="21600,21600" o:gfxdata="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LdGv2QAAAAgBAAAPAAAAAAAAAAEAIAAAACIAAABkcnMvZG93bnJldi54bWxQ&#10;SwECFAAUAAAACACHTuJA9g/etvYBAADgAwAADgAAAAAAAAABACAAAAAoAQAAZHJzL2Uyb0RvYy54&#10;bWxQSwUGAAAAAAYABgBZAQAAkAUAAAAA&#10;">
              <v:fill on="t" focussize="0,0"/>
              <v:stroke on="f"/>
              <v:imagedata o:title=""/>
              <o:lock v:ext="edit" aspectratio="f"/>
              <v:textbox inset="0mm,0mm,0mm,0mm" style="mso-fit-shape-to-text:t;">
                <w:txbxContent>
                  <w:p>
                    <w:pPr>
                      <w:rPr>
                        <w:rFonts w:ascii="Cambria" w:hAnsi="Cambria"/>
                        <w:b/>
                        <w:sz w:val="18"/>
                        <w:szCs w:val="18"/>
                      </w:rPr>
                    </w:pPr>
                    <w:r>
                      <w:rPr>
                        <w:rFonts w:ascii="Cambria" w:hAnsi="Cambria"/>
                        <w:b/>
                        <w:sz w:val="18"/>
                        <w:szCs w:val="18"/>
                      </w:rPr>
                      <w:t>Центр теплоэнергосбережений</w:t>
                    </w:r>
                  </w:p>
                </w:txbxContent>
              </v:textbox>
            </v:shape>
          </w:pict>
        </mc:Fallback>
      </mc:AlternateContent>
    </w:r>
    <w:r>
      <w:rPr>
        <w:rFonts w:ascii="Cambria" w:hAnsi="Cambria"/>
        <w:b/>
        <w:sz w:val="28"/>
        <w:szCs w:val="28"/>
      </w:rPr>
      <w:fldChar w:fldCharType="begin"/>
    </w:r>
    <w:r>
      <w:rPr>
        <w:rFonts w:ascii="Cambria" w:hAnsi="Cambria"/>
        <w:b/>
        <w:sz w:val="28"/>
        <w:szCs w:val="28"/>
      </w:rPr>
      <w:instrText xml:space="preserve"> PAGE   \* MERGEFORMAT </w:instrText>
    </w:r>
    <w:r>
      <w:rPr>
        <w:rFonts w:ascii="Cambria" w:hAnsi="Cambria"/>
        <w:b/>
        <w:sz w:val="28"/>
        <w:szCs w:val="28"/>
      </w:rPr>
      <w:fldChar w:fldCharType="separate"/>
    </w:r>
    <w:r>
      <w:rPr>
        <w:rFonts w:ascii="Cambria" w:hAnsi="Cambria"/>
        <w:b/>
        <w:sz w:val="28"/>
        <w:szCs w:val="28"/>
      </w:rPr>
      <w:t>95</w:t>
    </w:r>
    <w:r>
      <w:rPr>
        <w:rFonts w:ascii="Cambria" w:hAnsi="Cambria"/>
        <w:b/>
        <w:sz w:val="28"/>
        <w:szCs w:val="28"/>
      </w:rPr>
      <w:fldChar w:fldCharType="end"/>
    </w:r>
  </w:p>
  <w:p>
    <w:pPr>
      <w:pStyle w:val="6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808080" w:sz="12" w:space="1"/>
      </w:pBdr>
      <w:spacing w:before="240"/>
      <w:jc w:val="right"/>
    </w:pPr>
    <w:r>
      <w:rPr>
        <w:rFonts w:ascii="Cambria" w:hAnsi="Cambria"/>
        <w:b/>
        <w:sz w:val="28"/>
        <w:szCs w:val="28"/>
      </w:rPr>
      <mc:AlternateContent>
        <mc:Choice Requires="wps">
          <w:drawing>
            <wp:anchor distT="0" distB="0" distL="114300" distR="114300" simplePos="0" relativeHeight="251657216" behindDoc="0" locked="0" layoutInCell="1" allowOverlap="1">
              <wp:simplePos x="0" y="0"/>
              <wp:positionH relativeFrom="column">
                <wp:posOffset>237490</wp:posOffset>
              </wp:positionH>
              <wp:positionV relativeFrom="paragraph">
                <wp:posOffset>186690</wp:posOffset>
              </wp:positionV>
              <wp:extent cx="1668145" cy="267970"/>
              <wp:effectExtent l="0" t="0" r="8255" b="0"/>
              <wp:wrapNone/>
              <wp:docPr id="71" name="Text Box 5"/>
              <wp:cNvGraphicFramePr/>
              <a:graphic xmlns:a="http://schemas.openxmlformats.org/drawingml/2006/main">
                <a:graphicData uri="http://schemas.microsoft.com/office/word/2010/wordprocessingShape">
                  <wps:wsp>
                    <wps:cNvSpPr txBox="1">
                      <a:spLocks noChangeArrowheads="1"/>
                    </wps:cNvSpPr>
                    <wps:spPr bwMode="auto">
                      <a:xfrm>
                        <a:off x="0" y="0"/>
                        <a:ext cx="1668145" cy="267970"/>
                      </a:xfrm>
                      <a:prstGeom prst="rect">
                        <a:avLst/>
                      </a:prstGeom>
                      <a:solidFill>
                        <a:srgbClr val="FFFFFF"/>
                      </a:solidFill>
                      <a:ln>
                        <a:noFill/>
                      </a:ln>
                    </wps:spPr>
                    <wps:txbx>
                      <w:txbxContent>
                        <w:p>
                          <w:pPr>
                            <w:rPr>
                              <w:rFonts w:ascii="Cambria" w:hAnsi="Cambria"/>
                              <w:b/>
                              <w:sz w:val="18"/>
                              <w:szCs w:val="18"/>
                            </w:rPr>
                          </w:pPr>
                          <w:r>
                            <w:rPr>
                              <w:rFonts w:ascii="Cambria" w:hAnsi="Cambria"/>
                              <w:b/>
                              <w:sz w:val="18"/>
                              <w:szCs w:val="18"/>
                            </w:rPr>
                            <w:t xml:space="preserve">Центр муниципальной </w:t>
                          </w:r>
                          <w:r>
                            <w:rPr>
                              <w:rFonts w:ascii="Cambria" w:hAnsi="Cambria"/>
                              <w:b/>
                              <w:sz w:val="18"/>
                              <w:szCs w:val="18"/>
                            </w:rPr>
                            <w:br w:type="textWrapping"/>
                          </w:r>
                          <w:r>
                            <w:rPr>
                              <w:rFonts w:ascii="Cambria" w:hAnsi="Cambria"/>
                              <w:b/>
                              <w:sz w:val="18"/>
                              <w:szCs w:val="18"/>
                            </w:rPr>
                            <w:t>экономики</w:t>
                          </w:r>
                        </w:p>
                      </w:txbxContent>
                    </wps:txbx>
                    <wps:bodyPr rot="0" vert="horz" wrap="square" lIns="0" tIns="0" rIns="0" bIns="0" anchor="t" anchorCtr="0" upright="1">
                      <a:spAutoFit/>
                    </wps:bodyPr>
                  </wps:wsp>
                </a:graphicData>
              </a:graphic>
            </wp:anchor>
          </w:drawing>
        </mc:Choice>
        <mc:Fallback>
          <w:pict>
            <v:shape id="Text Box 5" o:spid="_x0000_s1026" o:spt="202" type="#_x0000_t202" style="position:absolute;left:0pt;margin-left:18.7pt;margin-top:14.7pt;height:21.1pt;width:131.35pt;z-index:251657216;mso-width-relative:page;mso-height-relative:page;" fillcolor="#FFFFFF" filled="t" stroked="f" coordsize="21600,21600" o:gfxdata="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6Mf12QAAAAgBAAAPAAAAAAAAAAEAIAAAACIAAABkcnMvZG93bnJldi54bWxQ&#10;SwECFAAUAAAACACHTuJAtKw/O/YBAADgAwAADgAAAAAAAAABACAAAAAoAQAAZHJzL2Uyb0RvYy54&#10;bWxQSwUGAAAAAAYABgBZAQAAkAUAAAAA&#10;">
              <v:fill on="t" focussize="0,0"/>
              <v:stroke on="f"/>
              <v:imagedata o:title=""/>
              <o:lock v:ext="edit" aspectratio="f"/>
              <v:textbox inset="0mm,0mm,0mm,0mm" style="mso-fit-shape-to-text:t;">
                <w:txbxContent>
                  <w:p>
                    <w:pPr>
                      <w:rPr>
                        <w:rFonts w:ascii="Cambria" w:hAnsi="Cambria"/>
                        <w:b/>
                        <w:sz w:val="18"/>
                        <w:szCs w:val="18"/>
                      </w:rPr>
                    </w:pPr>
                    <w:r>
                      <w:rPr>
                        <w:rFonts w:ascii="Cambria" w:hAnsi="Cambria"/>
                        <w:b/>
                        <w:sz w:val="18"/>
                        <w:szCs w:val="18"/>
                      </w:rPr>
                      <w:t xml:space="preserve">Центр муниципальной </w:t>
                    </w:r>
                    <w:r>
                      <w:rPr>
                        <w:rFonts w:ascii="Cambria" w:hAnsi="Cambria"/>
                        <w:b/>
                        <w:sz w:val="18"/>
                        <w:szCs w:val="18"/>
                      </w:rPr>
                      <w:br w:type="textWrapping"/>
                    </w:r>
                    <w:r>
                      <w:rPr>
                        <w:rFonts w:ascii="Cambria" w:hAnsi="Cambria"/>
                        <w:b/>
                        <w:sz w:val="18"/>
                        <w:szCs w:val="18"/>
                      </w:rPr>
                      <w:t>экономики</w:t>
                    </w:r>
                  </w:p>
                </w:txbxContent>
              </v:textbox>
            </v:shape>
          </w:pict>
        </mc:Fallback>
      </mc:AlternateContent>
    </w:r>
    <w:r>
      <w:rPr>
        <w:rFonts w:ascii="Cambria" w:hAnsi="Cambria"/>
        <w:b/>
        <w:sz w:val="28"/>
        <w:szCs w:val="28"/>
      </w:rPr>
      <w:drawing>
        <wp:anchor distT="0" distB="0" distL="114300" distR="114300" simplePos="0" relativeHeight="251656192" behindDoc="0" locked="0" layoutInCell="1" allowOverlap="1">
          <wp:simplePos x="0" y="0"/>
          <wp:positionH relativeFrom="column">
            <wp:posOffset>-7620</wp:posOffset>
          </wp:positionH>
          <wp:positionV relativeFrom="paragraph">
            <wp:posOffset>186055</wp:posOffset>
          </wp:positionV>
          <wp:extent cx="232410" cy="266700"/>
          <wp:effectExtent l="19050" t="0" r="0" b="0"/>
          <wp:wrapNone/>
          <wp:docPr id="70"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 descr="лого"/>
                  <pic:cNvPicPr>
                    <a:picLocks noChangeAspect="1" noChangeArrowheads="1"/>
                  </pic:cNvPicPr>
                </pic:nvPicPr>
                <pic:blipFill>
                  <a:blip r:embed="rId1"/>
                  <a:srcRect/>
                  <a:stretch>
                    <a:fillRect/>
                  </a:stretch>
                </pic:blipFill>
                <pic:spPr>
                  <a:xfrm>
                    <a:off x="0" y="0"/>
                    <a:ext cx="232410" cy="266700"/>
                  </a:xfrm>
                  <a:prstGeom prst="rect">
                    <a:avLst/>
                  </a:prstGeom>
                  <a:noFill/>
                  <a:ln w="9525">
                    <a:noFill/>
                    <a:miter lim="800000"/>
                    <a:headEnd/>
                    <a:tailEnd/>
                  </a:ln>
                </pic:spPr>
              </pic:pic>
            </a:graphicData>
          </a:graphic>
        </wp:anchor>
      </w:drawing>
    </w:r>
    <w:r>
      <w:rPr>
        <w:rFonts w:ascii="Cambria" w:hAnsi="Cambria"/>
        <w:b/>
        <w:sz w:val="28"/>
        <w:szCs w:val="28"/>
      </w:rPr>
      <w:fldChar w:fldCharType="begin"/>
    </w:r>
    <w:r>
      <w:rPr>
        <w:rFonts w:ascii="Cambria" w:hAnsi="Cambria"/>
        <w:b/>
        <w:sz w:val="28"/>
        <w:szCs w:val="28"/>
      </w:rPr>
      <w:instrText xml:space="preserve"> PAGE   \* MERGEFORMAT </w:instrText>
    </w:r>
    <w:r>
      <w:rPr>
        <w:rFonts w:ascii="Cambria" w:hAnsi="Cambria"/>
        <w:b/>
        <w:sz w:val="28"/>
        <w:szCs w:val="28"/>
      </w:rPr>
      <w:fldChar w:fldCharType="separate"/>
    </w:r>
    <w:r>
      <w:rPr>
        <w:rFonts w:ascii="Cambria" w:hAnsi="Cambria"/>
        <w:b/>
        <w:sz w:val="28"/>
        <w:szCs w:val="28"/>
      </w:rPr>
      <w:t>226</w:t>
    </w:r>
    <w:r>
      <w:rPr>
        <w:rFonts w:ascii="Cambria" w:hAnsi="Cambria"/>
        <w:b/>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inside" w:y="1"/>
    </w:pPr>
    <w:r>
      <w:fldChar w:fldCharType="begin"/>
    </w:r>
    <w:r>
      <w:instrText xml:space="preserve">PAGE  </w:instrText>
    </w:r>
    <w:r>
      <w:fldChar w:fldCharType="separate"/>
    </w:r>
    <w:r>
      <w:t>46</w:t>
    </w:r>
    <w:r>
      <w:fldChar w:fldCharType="end"/>
    </w:r>
  </w:p>
  <w:p>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7"/>
      </w:pPr>
      <w:r>
        <w:rPr>
          <w:rStyle w:val="90"/>
        </w:rPr>
        <w:footnoteRef/>
      </w:r>
      <w:r>
        <w:t xml:space="preserve"> В соответствующих ячейках по сельскому поселению Анискинское сведения отсутствовали.  </w:t>
      </w:r>
    </w:p>
  </w:footnote>
  <w:footnote w:id="1">
    <w:p>
      <w:pPr>
        <w:pStyle w:val="27"/>
        <w:jc w:val="both"/>
      </w:pPr>
      <w:r>
        <w:rPr>
          <w:rStyle w:val="90"/>
        </w:rPr>
        <w:footnoteRef/>
      </w:r>
      <w:r>
        <w:t xml:space="preserve"> Охват жилищного фонда коммунальными услугами рассчитан как доля площади жилищного фонда, обеспеченного коммунальной услугой, в общей площади жилищного фонда. </w:t>
      </w:r>
    </w:p>
  </w:footnote>
  <w:footnote w:id="2">
    <w:p>
      <w:pPr>
        <w:pStyle w:val="27"/>
      </w:pPr>
      <w:r>
        <w:rPr>
          <w:rStyle w:val="90"/>
        </w:rPr>
        <w:footnoteRef/>
      </w:r>
      <w:r>
        <w:t xml:space="preserve"> http://www.cenef.ru/file/Joylesspic.pdf</w:t>
      </w:r>
    </w:p>
  </w:footnote>
  <w:footnote w:id="3">
    <w:p>
      <w:pPr>
        <w:pStyle w:val="27"/>
        <w:jc w:val="both"/>
      </w:pPr>
      <w:r>
        <w:rPr>
          <w:rStyle w:val="90"/>
        </w:rPr>
        <w:footnoteRef/>
      </w:r>
      <w:r>
        <w:t xml:space="preserve"> В контексте муниципального образования данный показатель можно считать избыточным, поскольку основные финансовые обязательства по социальной поддержке населения при оплате жилищно-коммунальных услуг несут бюджеты более высокого уровня (федеральный и областной).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right w:val="single" w:color="808080" w:sz="36" w:space="4"/>
      </w:pBdr>
      <w:jc w:val="right"/>
      <w:rPr>
        <w:rFonts w:ascii="Cambria" w:hAnsi="Cambria"/>
        <w:b/>
        <w:color w:val="000000"/>
        <w:sz w:val="18"/>
        <w:szCs w:val="18"/>
      </w:rPr>
    </w:pPr>
    <w:r>
      <w:rPr>
        <w:rFonts w:ascii="Cambria" w:hAnsi="Cambria"/>
        <w:b/>
        <w:color w:val="000000"/>
        <w:sz w:val="18"/>
        <w:szCs w:val="18"/>
      </w:rPr>
      <w:t>Программа комплексного развития систем коммунальной инфраструктуры муниципального образования  города-курорта Анапы на период до 2033 года. Утверждаемая часть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right w:val="single" w:color="808080" w:sz="36" w:space="4"/>
      </w:pBdr>
      <w:jc w:val="right"/>
      <w:rPr>
        <w:rFonts w:ascii="Cambria" w:hAnsi="Cambria"/>
        <w:b/>
        <w:color w:val="000000"/>
        <w:sz w:val="18"/>
        <w:szCs w:val="18"/>
      </w:rPr>
    </w:pPr>
    <w:r>
      <w:rPr>
        <w:rFonts w:ascii="Cambria" w:hAnsi="Cambria"/>
        <w:b/>
        <w:color w:val="000000"/>
        <w:sz w:val="18"/>
        <w:szCs w:val="18"/>
      </w:rPr>
      <w:t xml:space="preserve">Программа комплексного развития систем коммунальной инфраструктуры территориального </w:t>
    </w:r>
  </w:p>
  <w:p>
    <w:pPr>
      <w:pBdr>
        <w:right w:val="single" w:color="808080" w:sz="36" w:space="4"/>
      </w:pBdr>
      <w:jc w:val="right"/>
      <w:rPr>
        <w:rFonts w:ascii="Cambria" w:hAnsi="Cambria"/>
        <w:b/>
        <w:color w:val="000000"/>
        <w:sz w:val="18"/>
        <w:szCs w:val="18"/>
      </w:rPr>
    </w:pPr>
    <w:r>
      <w:rPr>
        <w:rFonts w:ascii="Cambria" w:hAnsi="Cambria"/>
        <w:b/>
        <w:color w:val="000000"/>
        <w:sz w:val="18"/>
        <w:szCs w:val="18"/>
      </w:rPr>
      <w:t>управления Одинцово Одинцовского городского округа до 2029 года. Утверждаемая часть</w:t>
    </w:r>
  </w:p>
  <w:p>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right w:val="single" w:color="808080" w:sz="36" w:space="4"/>
      </w:pBdr>
      <w:jc w:val="right"/>
      <w:rPr>
        <w:rFonts w:ascii="Cambria" w:hAnsi="Cambria"/>
        <w:b/>
        <w:color w:val="000000"/>
        <w:sz w:val="18"/>
        <w:szCs w:val="18"/>
      </w:rPr>
    </w:pPr>
    <w:r>
      <w:rPr>
        <w:rFonts w:ascii="Cambria" w:hAnsi="Cambria"/>
        <w:b/>
        <w:color w:val="000000"/>
        <w:sz w:val="18"/>
        <w:szCs w:val="18"/>
      </w:rPr>
      <w:t xml:space="preserve">Программа комплексного развития систем коммунальной инфраструктуры территориального </w:t>
    </w:r>
  </w:p>
  <w:p>
    <w:pPr>
      <w:pBdr>
        <w:right w:val="single" w:color="808080" w:sz="36" w:space="4"/>
      </w:pBdr>
      <w:jc w:val="right"/>
      <w:rPr>
        <w:rFonts w:ascii="Cambria" w:hAnsi="Cambria"/>
        <w:b/>
        <w:color w:val="000000"/>
        <w:sz w:val="18"/>
        <w:szCs w:val="18"/>
      </w:rPr>
    </w:pPr>
    <w:r>
      <w:rPr>
        <w:rFonts w:ascii="Cambria" w:hAnsi="Cambria"/>
        <w:b/>
        <w:color w:val="000000"/>
        <w:sz w:val="18"/>
        <w:szCs w:val="18"/>
      </w:rPr>
      <w:t>управления Одинцово Одинцовского городского округа до 2029 года. Програм. документ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right w:val="single" w:color="808080" w:sz="36" w:space="4"/>
      </w:pBdr>
      <w:jc w:val="right"/>
      <w:rPr>
        <w:rFonts w:ascii="Cambria" w:hAnsi="Cambria"/>
        <w:b/>
        <w:color w:val="000000"/>
        <w:sz w:val="18"/>
        <w:szCs w:val="18"/>
      </w:rPr>
    </w:pPr>
    <w:r>
      <w:rPr>
        <w:rFonts w:ascii="Cambria" w:hAnsi="Cambria"/>
        <w:b/>
        <w:color w:val="000000"/>
        <w:sz w:val="18"/>
        <w:szCs w:val="18"/>
      </w:rPr>
      <w:t xml:space="preserve">Программа комплексного развития систем коммунальной инфраструктуры территориального </w:t>
    </w:r>
  </w:p>
  <w:p>
    <w:pPr>
      <w:pBdr>
        <w:right w:val="single" w:color="808080" w:sz="36" w:space="4"/>
      </w:pBdr>
      <w:jc w:val="right"/>
      <w:rPr>
        <w:rFonts w:ascii="Cambria" w:hAnsi="Cambria"/>
        <w:b/>
        <w:color w:val="000000"/>
        <w:sz w:val="18"/>
        <w:szCs w:val="18"/>
      </w:rPr>
    </w:pPr>
    <w:r>
      <w:rPr>
        <w:rFonts w:ascii="Cambria" w:hAnsi="Cambria"/>
        <w:b/>
        <w:color w:val="000000"/>
        <w:sz w:val="18"/>
        <w:szCs w:val="18"/>
      </w:rPr>
      <w:t>управления Одинцово Одинцовского городского округа на 2019-2029 годы..  Программный документ</w:t>
    </w:r>
  </w:p>
  <w:p>
    <w:pPr>
      <w:pBdr>
        <w:right w:val="single" w:color="808080" w:sz="36" w:space="4"/>
      </w:pBdr>
      <w:jc w:val="right"/>
      <w:rPr>
        <w:rFonts w:ascii="Cambria" w:hAnsi="Cambria"/>
        <w:b/>
        <w:color w:val="000000"/>
        <w:sz w:val="18"/>
        <w:szCs w:val="18"/>
      </w:rPr>
    </w:pPr>
    <w:r>
      <w:rPr>
        <w:rFonts w:ascii="Cambria" w:hAnsi="Cambria"/>
        <w:b/>
        <w:color w:val="000000"/>
        <w:sz w:val="18"/>
        <w:szCs w:val="18"/>
      </w:rPr>
      <w:t xml:space="preserve">. </w:t>
    </w:r>
  </w:p>
  <w:p>
    <w:pPr>
      <w:pStyle w:val="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15"/>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44"/>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30"/>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69"/>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8"/>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61"/>
      <w:lvlText w:val=""/>
      <w:lvlJc w:val="left"/>
      <w:pPr>
        <w:tabs>
          <w:tab w:val="left" w:pos="1209"/>
        </w:tabs>
        <w:ind w:left="1209" w:hanging="360"/>
      </w:pPr>
      <w:rPr>
        <w:rFonts w:hint="default" w:ascii="Symbol" w:hAnsi="Symbol"/>
      </w:rPr>
    </w:lvl>
  </w:abstractNum>
  <w:abstractNum w:abstractNumId="6">
    <w:nsid w:val="FFFFFF88"/>
    <w:multiLevelType w:val="singleLevel"/>
    <w:tmpl w:val="FFFFFF88"/>
    <w:lvl w:ilvl="0" w:tentative="0">
      <w:start w:val="1"/>
      <w:numFmt w:val="decimal"/>
      <w:pStyle w:val="68"/>
      <w:lvlText w:val="%1."/>
      <w:lvlJc w:val="left"/>
      <w:pPr>
        <w:tabs>
          <w:tab w:val="left" w:pos="360"/>
        </w:tabs>
        <w:ind w:left="360" w:hanging="360"/>
      </w:pPr>
    </w:lvl>
  </w:abstractNum>
  <w:abstractNum w:abstractNumId="7">
    <w:nsid w:val="00B84273"/>
    <w:multiLevelType w:val="multilevel"/>
    <w:tmpl w:val="00B84273"/>
    <w:lvl w:ilvl="0" w:tentative="0">
      <w:start w:val="1"/>
      <w:numFmt w:val="bullet"/>
      <w:lvlText w:val=""/>
      <w:lvlJc w:val="left"/>
      <w:pPr>
        <w:tabs>
          <w:tab w:val="left" w:pos="2694"/>
        </w:tabs>
        <w:ind w:left="2694" w:firstLine="1134"/>
      </w:pPr>
      <w:rPr>
        <w:rFonts w:hint="default" w:ascii="Wingdings" w:hAnsi="Wingdings"/>
        <w:color w:val="80000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pStyle w:val="520"/>
      <w:lvlText w:val=""/>
      <w:lvlJc w:val="left"/>
      <w:pPr>
        <w:tabs>
          <w:tab w:val="left" w:pos="546"/>
        </w:tabs>
        <w:ind w:left="546" w:firstLine="1134"/>
      </w:pPr>
      <w:rPr>
        <w:rFonts w:hint="default" w:ascii="Wingdings" w:hAnsi="Wingdings"/>
        <w:color w:val="C41C16"/>
        <w:sz w:val="24"/>
        <w:szCs w:val="24"/>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01066FA0"/>
    <w:multiLevelType w:val="multilevel"/>
    <w:tmpl w:val="01066FA0"/>
    <w:lvl w:ilvl="0" w:tentative="0">
      <w:start w:val="1"/>
      <w:numFmt w:val="bullet"/>
      <w:lvlText w:val="-"/>
      <w:lvlJc w:val="left"/>
      <w:pPr>
        <w:ind w:left="1287" w:hanging="360"/>
      </w:pPr>
      <w:rPr>
        <w:rFonts w:hint="default"/>
      </w:rPr>
    </w:lvl>
    <w:lvl w:ilvl="1" w:tentative="0">
      <w:start w:val="1"/>
      <w:numFmt w:val="bullet"/>
      <w:lvlText w:val="-"/>
      <w:lvlJc w:val="left"/>
      <w:pPr>
        <w:ind w:left="2007" w:hanging="360"/>
      </w:pPr>
      <w:rPr>
        <w:rFonts w:hint="default"/>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
    <w:nsid w:val="027D27D9"/>
    <w:multiLevelType w:val="multilevel"/>
    <w:tmpl w:val="027D27D9"/>
    <w:lvl w:ilvl="0" w:tentative="0">
      <w:start w:val="1"/>
      <w:numFmt w:val="decimal"/>
      <w:pStyle w:val="1023"/>
      <w:lvlText w:val="Рисунок П1 %1. "/>
      <w:lvlJc w:val="left"/>
      <w:pPr>
        <w:ind w:left="360" w:hanging="360"/>
      </w:pPr>
      <w:rPr>
        <w:rFonts w:hint="default" w:ascii="Times New Roman" w:hAnsi="Times New Roman" w:cs="Times New Roman"/>
        <w:b/>
        <w:i w:val="0"/>
        <w:caps w:val="0"/>
        <w:strike w:val="0"/>
        <w:dstrike w:val="0"/>
        <w:vanish w:val="0"/>
        <w:color w:val="000000"/>
        <w:spacing w:val="0"/>
        <w:w w:val="100"/>
        <w:kern w:val="0"/>
        <w:position w:val="0"/>
        <w:sz w:val="24"/>
        <w:szCs w:val="24"/>
        <w:u w:val="none"/>
        <w:vertAlign w:val="baseline"/>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10">
    <w:nsid w:val="084C7B49"/>
    <w:multiLevelType w:val="multilevel"/>
    <w:tmpl w:val="084C7B49"/>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0A050544"/>
    <w:multiLevelType w:val="multilevel"/>
    <w:tmpl w:val="0A050544"/>
    <w:lvl w:ilvl="0" w:tentative="0">
      <w:start w:val="1"/>
      <w:numFmt w:val="decimal"/>
      <w:pStyle w:val="1019"/>
      <w:lvlText w:val="П1 %1. "/>
      <w:lvlJc w:val="left"/>
      <w:pPr>
        <w:ind w:left="720" w:hanging="360"/>
      </w:pPr>
      <w:rPr>
        <w:rFonts w:hint="default" w:ascii="Times New Roman" w:hAnsi="Times New Roman" w:cs="Times New Roman"/>
        <w:b/>
        <w:i w:val="0"/>
        <w:caps w:val="0"/>
        <w:strike w:val="0"/>
        <w:dstrike w:val="0"/>
        <w:vanish w:val="0"/>
        <w:color w:val="000000"/>
        <w:spacing w:val="0"/>
        <w:w w:val="100"/>
        <w:kern w:val="0"/>
        <w:position w:val="0"/>
        <w:sz w:val="28"/>
        <w:u w:val="none"/>
        <w:vertAlign w:val="baseline"/>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
    <w:nsid w:val="0F0A1B5F"/>
    <w:multiLevelType w:val="multilevel"/>
    <w:tmpl w:val="0F0A1B5F"/>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3">
    <w:nsid w:val="11884E08"/>
    <w:multiLevelType w:val="multilevel"/>
    <w:tmpl w:val="11884E0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43C7EAD"/>
    <w:multiLevelType w:val="multilevel"/>
    <w:tmpl w:val="143C7EA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15F05060"/>
    <w:multiLevelType w:val="multilevel"/>
    <w:tmpl w:val="15F0506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16CF4B00"/>
    <w:multiLevelType w:val="multilevel"/>
    <w:tmpl w:val="16CF4B00"/>
    <w:lvl w:ilvl="0" w:tentative="0">
      <w:start w:val="1"/>
      <w:numFmt w:val="bullet"/>
      <w:pStyle w:val="1017"/>
      <w:lvlText w:val="–"/>
      <w:lvlJc w:val="left"/>
      <w:pPr>
        <w:ind w:left="1429"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17">
    <w:nsid w:val="18EF2E56"/>
    <w:multiLevelType w:val="multilevel"/>
    <w:tmpl w:val="18EF2E56"/>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8">
    <w:nsid w:val="1AB2569B"/>
    <w:multiLevelType w:val="multilevel"/>
    <w:tmpl w:val="1AB2569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1D35337F"/>
    <w:multiLevelType w:val="multilevel"/>
    <w:tmpl w:val="1D35337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1E25270E"/>
    <w:multiLevelType w:val="multilevel"/>
    <w:tmpl w:val="1E25270E"/>
    <w:lvl w:ilvl="0" w:tentative="0">
      <w:start w:val="1"/>
      <w:numFmt w:val="decimal"/>
      <w:pStyle w:val="997"/>
      <w:lvlText w:val="%1"/>
      <w:lvlJc w:val="left"/>
      <w:pPr>
        <w:ind w:left="360" w:hanging="360"/>
      </w:pPr>
      <w:rPr>
        <w:rFonts w:cs="Times New Roman"/>
      </w:rPr>
    </w:lvl>
    <w:lvl w:ilvl="1" w:tentative="0">
      <w:start w:val="1"/>
      <w:numFmt w:val="lowerLetter"/>
      <w:lvlText w:val="%2)"/>
      <w:lvlJc w:val="left"/>
      <w:pPr>
        <w:ind w:left="720" w:hanging="360"/>
      </w:pPr>
      <w:rPr>
        <w:rFonts w:cs="Times New Roman"/>
      </w:rPr>
    </w:lvl>
    <w:lvl w:ilvl="2" w:tentative="0">
      <w:start w:val="1"/>
      <w:numFmt w:val="lowerRoman"/>
      <w:lvlText w:val="%3)"/>
      <w:lvlJc w:val="left"/>
      <w:pPr>
        <w:ind w:left="1080" w:hanging="360"/>
      </w:pPr>
      <w:rPr>
        <w:rFonts w:cs="Times New Roman"/>
      </w:rPr>
    </w:lvl>
    <w:lvl w:ilvl="3" w:tentative="0">
      <w:start w:val="1"/>
      <w:numFmt w:val="decimal"/>
      <w:lvlText w:val="(%4)"/>
      <w:lvlJc w:val="left"/>
      <w:pPr>
        <w:ind w:left="1440" w:hanging="360"/>
      </w:pPr>
      <w:rPr>
        <w:rFonts w:cs="Times New Roman"/>
      </w:rPr>
    </w:lvl>
    <w:lvl w:ilvl="4" w:tentative="0">
      <w:start w:val="1"/>
      <w:numFmt w:val="lowerLetter"/>
      <w:lvlText w:val="(%5)"/>
      <w:lvlJc w:val="left"/>
      <w:pPr>
        <w:ind w:left="1800" w:hanging="360"/>
      </w:pPr>
      <w:rPr>
        <w:rFonts w:cs="Times New Roman"/>
      </w:rPr>
    </w:lvl>
    <w:lvl w:ilvl="5" w:tentative="0">
      <w:start w:val="1"/>
      <w:numFmt w:val="lowerRoman"/>
      <w:lvlText w:val="(%6)"/>
      <w:lvlJc w:val="left"/>
      <w:pPr>
        <w:ind w:left="2160" w:hanging="360"/>
      </w:pPr>
      <w:rPr>
        <w:rFonts w:cs="Times New Roman"/>
      </w:rPr>
    </w:lvl>
    <w:lvl w:ilvl="6" w:tentative="0">
      <w:start w:val="1"/>
      <w:numFmt w:val="decimal"/>
      <w:lvlText w:val="%7."/>
      <w:lvlJc w:val="left"/>
      <w:pPr>
        <w:ind w:left="2520" w:hanging="360"/>
      </w:pPr>
      <w:rPr>
        <w:rFonts w:cs="Times New Roman"/>
      </w:rPr>
    </w:lvl>
    <w:lvl w:ilvl="7" w:tentative="0">
      <w:start w:val="1"/>
      <w:numFmt w:val="lowerLetter"/>
      <w:lvlText w:val="%8."/>
      <w:lvlJc w:val="left"/>
      <w:pPr>
        <w:ind w:left="2880" w:hanging="360"/>
      </w:pPr>
      <w:rPr>
        <w:rFonts w:cs="Times New Roman"/>
      </w:rPr>
    </w:lvl>
    <w:lvl w:ilvl="8" w:tentative="0">
      <w:start w:val="1"/>
      <w:numFmt w:val="lowerRoman"/>
      <w:lvlText w:val="%9."/>
      <w:lvlJc w:val="left"/>
      <w:pPr>
        <w:ind w:left="3240" w:hanging="360"/>
      </w:pPr>
      <w:rPr>
        <w:rFonts w:cs="Times New Roman"/>
      </w:rPr>
    </w:lvl>
  </w:abstractNum>
  <w:abstractNum w:abstractNumId="21">
    <w:nsid w:val="20440BB0"/>
    <w:multiLevelType w:val="multilevel"/>
    <w:tmpl w:val="20440BB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2">
    <w:nsid w:val="22596A40"/>
    <w:multiLevelType w:val="multilevel"/>
    <w:tmpl w:val="22596A40"/>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4A76558"/>
    <w:multiLevelType w:val="multilevel"/>
    <w:tmpl w:val="24A765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5973EF1"/>
    <w:multiLevelType w:val="multilevel"/>
    <w:tmpl w:val="25973EF1"/>
    <w:lvl w:ilvl="0" w:tentative="0">
      <w:start w:val="1"/>
      <w:numFmt w:val="decimal"/>
      <w:pStyle w:val="996"/>
      <w:lvlText w:val="%1."/>
      <w:lvlJc w:val="left"/>
      <w:pPr>
        <w:ind w:left="360" w:hanging="360"/>
      </w:pPr>
      <w:rPr>
        <w:rFonts w:cs="Times New Roman"/>
      </w:rPr>
    </w:lvl>
    <w:lvl w:ilvl="1" w:tentative="0">
      <w:start w:val="1"/>
      <w:numFmt w:val="lowerLetter"/>
      <w:lvlText w:val="%2)"/>
      <w:lvlJc w:val="left"/>
      <w:pPr>
        <w:ind w:left="720" w:hanging="360"/>
      </w:pPr>
      <w:rPr>
        <w:rFonts w:cs="Times New Roman"/>
      </w:rPr>
    </w:lvl>
    <w:lvl w:ilvl="2" w:tentative="0">
      <w:start w:val="1"/>
      <w:numFmt w:val="lowerRoman"/>
      <w:lvlText w:val="%3)"/>
      <w:lvlJc w:val="left"/>
      <w:pPr>
        <w:ind w:left="1080" w:hanging="360"/>
      </w:pPr>
      <w:rPr>
        <w:rFonts w:cs="Times New Roman"/>
      </w:rPr>
    </w:lvl>
    <w:lvl w:ilvl="3" w:tentative="0">
      <w:start w:val="1"/>
      <w:numFmt w:val="decimal"/>
      <w:lvlText w:val="(%4)"/>
      <w:lvlJc w:val="left"/>
      <w:pPr>
        <w:ind w:left="1440" w:hanging="360"/>
      </w:pPr>
      <w:rPr>
        <w:rFonts w:cs="Times New Roman"/>
      </w:rPr>
    </w:lvl>
    <w:lvl w:ilvl="4" w:tentative="0">
      <w:start w:val="1"/>
      <w:numFmt w:val="lowerLetter"/>
      <w:lvlText w:val="(%5)"/>
      <w:lvlJc w:val="left"/>
      <w:pPr>
        <w:ind w:left="1800" w:hanging="360"/>
      </w:pPr>
      <w:rPr>
        <w:rFonts w:cs="Times New Roman"/>
      </w:rPr>
    </w:lvl>
    <w:lvl w:ilvl="5" w:tentative="0">
      <w:start w:val="1"/>
      <w:numFmt w:val="lowerRoman"/>
      <w:lvlText w:val="(%6)"/>
      <w:lvlJc w:val="left"/>
      <w:pPr>
        <w:ind w:left="2160" w:hanging="360"/>
      </w:pPr>
      <w:rPr>
        <w:rFonts w:cs="Times New Roman"/>
      </w:rPr>
    </w:lvl>
    <w:lvl w:ilvl="6" w:tentative="0">
      <w:start w:val="1"/>
      <w:numFmt w:val="decimal"/>
      <w:lvlText w:val="%7."/>
      <w:lvlJc w:val="left"/>
      <w:pPr>
        <w:ind w:left="2520" w:hanging="360"/>
      </w:pPr>
      <w:rPr>
        <w:rFonts w:cs="Times New Roman"/>
      </w:rPr>
    </w:lvl>
    <w:lvl w:ilvl="7" w:tentative="0">
      <w:start w:val="1"/>
      <w:numFmt w:val="lowerLetter"/>
      <w:lvlText w:val="%8."/>
      <w:lvlJc w:val="left"/>
      <w:pPr>
        <w:ind w:left="2880" w:hanging="360"/>
      </w:pPr>
      <w:rPr>
        <w:rFonts w:cs="Times New Roman"/>
      </w:rPr>
    </w:lvl>
    <w:lvl w:ilvl="8" w:tentative="0">
      <w:start w:val="1"/>
      <w:numFmt w:val="lowerRoman"/>
      <w:lvlText w:val="%9."/>
      <w:lvlJc w:val="left"/>
      <w:pPr>
        <w:ind w:left="3240" w:hanging="360"/>
      </w:pPr>
      <w:rPr>
        <w:rFonts w:cs="Times New Roman"/>
      </w:rPr>
    </w:lvl>
  </w:abstractNum>
  <w:abstractNum w:abstractNumId="25">
    <w:nsid w:val="2A245121"/>
    <w:multiLevelType w:val="multilevel"/>
    <w:tmpl w:val="2A245121"/>
    <w:lvl w:ilvl="0" w:tentative="0">
      <w:start w:val="1"/>
      <w:numFmt w:val="decimal"/>
      <w:lvlText w:val="%1."/>
      <w:lvlJc w:val="left"/>
      <w:pPr>
        <w:ind w:left="1069" w:hanging="360"/>
      </w:pPr>
      <w:rPr>
        <w:rFonts w:hint="default"/>
      </w:rPr>
    </w:lvl>
    <w:lvl w:ilvl="1" w:tentative="0">
      <w:start w:val="1"/>
      <w:numFmt w:val="decimal"/>
      <w:isLgl/>
      <w:lvlText w:val="%1.%2."/>
      <w:lvlJc w:val="left"/>
      <w:pPr>
        <w:ind w:left="1854" w:hanging="720"/>
      </w:pPr>
      <w:rPr>
        <w:rFonts w:hint="default"/>
      </w:rPr>
    </w:lvl>
    <w:lvl w:ilvl="2" w:tentative="0">
      <w:start w:val="1"/>
      <w:numFmt w:val="decimal"/>
      <w:isLgl/>
      <w:lvlText w:val="%1.%2.%3."/>
      <w:lvlJc w:val="left"/>
      <w:pPr>
        <w:ind w:left="2279" w:hanging="720"/>
      </w:pPr>
      <w:rPr>
        <w:rFonts w:hint="default"/>
      </w:rPr>
    </w:lvl>
    <w:lvl w:ilvl="3" w:tentative="0">
      <w:start w:val="1"/>
      <w:numFmt w:val="decimal"/>
      <w:isLgl/>
      <w:lvlText w:val="%1.%2.%3.%4."/>
      <w:lvlJc w:val="left"/>
      <w:pPr>
        <w:ind w:left="3064" w:hanging="1080"/>
      </w:pPr>
      <w:rPr>
        <w:rFonts w:hint="default"/>
      </w:rPr>
    </w:lvl>
    <w:lvl w:ilvl="4" w:tentative="0">
      <w:start w:val="1"/>
      <w:numFmt w:val="decimal"/>
      <w:isLgl/>
      <w:lvlText w:val="%1.%2.%3.%4.%5."/>
      <w:lvlJc w:val="left"/>
      <w:pPr>
        <w:ind w:left="3849" w:hanging="1440"/>
      </w:pPr>
      <w:rPr>
        <w:rFonts w:hint="default"/>
      </w:rPr>
    </w:lvl>
    <w:lvl w:ilvl="5" w:tentative="0">
      <w:start w:val="1"/>
      <w:numFmt w:val="decimal"/>
      <w:isLgl/>
      <w:lvlText w:val="%1.%2.%3.%4.%5.%6."/>
      <w:lvlJc w:val="left"/>
      <w:pPr>
        <w:ind w:left="4274" w:hanging="1440"/>
      </w:pPr>
      <w:rPr>
        <w:rFonts w:hint="default"/>
      </w:rPr>
    </w:lvl>
    <w:lvl w:ilvl="6" w:tentative="0">
      <w:start w:val="1"/>
      <w:numFmt w:val="decimal"/>
      <w:isLgl/>
      <w:lvlText w:val="%1.%2.%3.%4.%5.%6.%7."/>
      <w:lvlJc w:val="left"/>
      <w:pPr>
        <w:ind w:left="5059" w:hanging="1800"/>
      </w:pPr>
      <w:rPr>
        <w:rFonts w:hint="default"/>
      </w:rPr>
    </w:lvl>
    <w:lvl w:ilvl="7" w:tentative="0">
      <w:start w:val="1"/>
      <w:numFmt w:val="decimal"/>
      <w:isLgl/>
      <w:lvlText w:val="%1.%2.%3.%4.%5.%6.%7.%8."/>
      <w:lvlJc w:val="left"/>
      <w:pPr>
        <w:ind w:left="5484" w:hanging="1800"/>
      </w:pPr>
      <w:rPr>
        <w:rFonts w:hint="default"/>
      </w:rPr>
    </w:lvl>
    <w:lvl w:ilvl="8" w:tentative="0">
      <w:start w:val="1"/>
      <w:numFmt w:val="decimal"/>
      <w:isLgl/>
      <w:lvlText w:val="%1.%2.%3.%4.%5.%6.%7.%8.%9."/>
      <w:lvlJc w:val="left"/>
      <w:pPr>
        <w:ind w:left="6269" w:hanging="2160"/>
      </w:pPr>
      <w:rPr>
        <w:rFonts w:hint="default"/>
      </w:rPr>
    </w:lvl>
  </w:abstractNum>
  <w:abstractNum w:abstractNumId="26">
    <w:nsid w:val="2B662B0E"/>
    <w:multiLevelType w:val="multilevel"/>
    <w:tmpl w:val="2B662B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D2D4B54"/>
    <w:multiLevelType w:val="singleLevel"/>
    <w:tmpl w:val="2D2D4B54"/>
    <w:lvl w:ilvl="0" w:tentative="0">
      <w:start w:val="1"/>
      <w:numFmt w:val="bullet"/>
      <w:pStyle w:val="2407"/>
      <w:lvlText w:val=""/>
      <w:lvlJc w:val="left"/>
      <w:pPr>
        <w:tabs>
          <w:tab w:val="left" w:pos="1267"/>
        </w:tabs>
        <w:ind w:left="1191" w:hanging="284"/>
      </w:pPr>
      <w:rPr>
        <w:rFonts w:hint="default" w:ascii="Symbol" w:hAnsi="Symbol"/>
      </w:rPr>
    </w:lvl>
  </w:abstractNum>
  <w:abstractNum w:abstractNumId="28">
    <w:nsid w:val="2EDF6AC5"/>
    <w:multiLevelType w:val="multilevel"/>
    <w:tmpl w:val="2EDF6AC5"/>
    <w:lvl w:ilvl="0" w:tentative="0">
      <w:start w:val="1"/>
      <w:numFmt w:val="decimal"/>
      <w:pStyle w:val="961"/>
      <w:lvlText w:val="%1."/>
      <w:lvlJc w:val="left"/>
      <w:pPr>
        <w:tabs>
          <w:tab w:val="left" w:pos="360"/>
        </w:tabs>
        <w:ind w:left="360" w:hanging="360"/>
      </w:pPr>
      <w:rPr>
        <w:rFonts w:cs="Times New Roman"/>
      </w:rPr>
    </w:lvl>
    <w:lvl w:ilvl="1" w:tentative="0">
      <w:start w:val="1"/>
      <w:numFmt w:val="decimal"/>
      <w:lvlText w:val="%1.%2."/>
      <w:lvlJc w:val="left"/>
      <w:pPr>
        <w:tabs>
          <w:tab w:val="left" w:pos="792"/>
        </w:tabs>
        <w:ind w:left="792" w:hanging="432"/>
      </w:pPr>
      <w:rPr>
        <w:rFonts w:cs="Times New Roman"/>
      </w:rPr>
    </w:lvl>
    <w:lvl w:ilvl="2" w:tentative="0">
      <w:start w:val="1"/>
      <w:numFmt w:val="decimal"/>
      <w:lvlText w:val="%1.%2.%3."/>
      <w:lvlJc w:val="left"/>
      <w:pPr>
        <w:tabs>
          <w:tab w:val="left" w:pos="1440"/>
        </w:tabs>
        <w:ind w:left="1224" w:hanging="504"/>
      </w:pPr>
      <w:rPr>
        <w:rFonts w:cs="Times New Roman"/>
      </w:rPr>
    </w:lvl>
    <w:lvl w:ilvl="3" w:tentative="0">
      <w:start w:val="1"/>
      <w:numFmt w:val="decimal"/>
      <w:lvlText w:val="%1.%2.%3.%4."/>
      <w:lvlJc w:val="left"/>
      <w:pPr>
        <w:tabs>
          <w:tab w:val="left" w:pos="1800"/>
        </w:tabs>
        <w:ind w:left="1728" w:hanging="648"/>
      </w:pPr>
      <w:rPr>
        <w:rFonts w:cs="Times New Roman"/>
      </w:rPr>
    </w:lvl>
    <w:lvl w:ilvl="4" w:tentative="0">
      <w:start w:val="1"/>
      <w:numFmt w:val="decimal"/>
      <w:lvlText w:val="%1.%2.%3.%4.%5."/>
      <w:lvlJc w:val="left"/>
      <w:pPr>
        <w:tabs>
          <w:tab w:val="left" w:pos="2520"/>
        </w:tabs>
        <w:ind w:left="2232" w:hanging="792"/>
      </w:pPr>
      <w:rPr>
        <w:rFonts w:cs="Times New Roman"/>
      </w:rPr>
    </w:lvl>
    <w:lvl w:ilvl="5" w:tentative="0">
      <w:start w:val="1"/>
      <w:numFmt w:val="decimal"/>
      <w:lvlText w:val="%1.%2.%3.%4.%5.%6."/>
      <w:lvlJc w:val="left"/>
      <w:pPr>
        <w:tabs>
          <w:tab w:val="left" w:pos="2880"/>
        </w:tabs>
        <w:ind w:left="2736" w:hanging="936"/>
      </w:pPr>
      <w:rPr>
        <w:rFonts w:cs="Times New Roman"/>
      </w:rPr>
    </w:lvl>
    <w:lvl w:ilvl="6" w:tentative="0">
      <w:start w:val="1"/>
      <w:numFmt w:val="decimal"/>
      <w:lvlText w:val="%1.%2.%3.%4.%5.%6.%7."/>
      <w:lvlJc w:val="left"/>
      <w:pPr>
        <w:tabs>
          <w:tab w:val="left" w:pos="3600"/>
        </w:tabs>
        <w:ind w:left="3240" w:hanging="1080"/>
      </w:pPr>
      <w:rPr>
        <w:rFonts w:cs="Times New Roman"/>
      </w:rPr>
    </w:lvl>
    <w:lvl w:ilvl="7" w:tentative="0">
      <w:start w:val="1"/>
      <w:numFmt w:val="decimal"/>
      <w:lvlText w:val="%1.%2.%3.%4.%5.%6.%7.%8."/>
      <w:lvlJc w:val="left"/>
      <w:pPr>
        <w:tabs>
          <w:tab w:val="left" w:pos="3960"/>
        </w:tabs>
        <w:ind w:left="3744" w:hanging="1224"/>
      </w:pPr>
      <w:rPr>
        <w:rFonts w:cs="Times New Roman"/>
      </w:rPr>
    </w:lvl>
    <w:lvl w:ilvl="8" w:tentative="0">
      <w:start w:val="1"/>
      <w:numFmt w:val="decimal"/>
      <w:lvlText w:val="%1.%2.%3.%4.%5.%6.%7.%8.%9."/>
      <w:lvlJc w:val="left"/>
      <w:pPr>
        <w:tabs>
          <w:tab w:val="left" w:pos="4680"/>
        </w:tabs>
        <w:ind w:left="4320" w:hanging="1440"/>
      </w:pPr>
      <w:rPr>
        <w:rFonts w:cs="Times New Roman"/>
      </w:rPr>
    </w:lvl>
  </w:abstractNum>
  <w:abstractNum w:abstractNumId="29">
    <w:nsid w:val="307827EF"/>
    <w:multiLevelType w:val="multilevel"/>
    <w:tmpl w:val="307827EF"/>
    <w:lvl w:ilvl="0" w:tentative="0">
      <w:start w:val="1"/>
      <w:numFmt w:val="decimal"/>
      <w:lvlText w:val="%1."/>
      <w:lvlJc w:val="left"/>
      <w:pPr>
        <w:tabs>
          <w:tab w:val="left" w:pos="360"/>
        </w:tabs>
        <w:ind w:left="360" w:hanging="360"/>
      </w:pPr>
      <w:rPr>
        <w:rFonts w:cs="Times New Roman"/>
      </w:rPr>
    </w:lvl>
    <w:lvl w:ilvl="1" w:tentative="0">
      <w:start w:val="1"/>
      <w:numFmt w:val="decimal"/>
      <w:pStyle w:val="934"/>
      <w:lvlText w:val="%1.%2."/>
      <w:lvlJc w:val="left"/>
      <w:pPr>
        <w:tabs>
          <w:tab w:val="left" w:pos="792"/>
        </w:tabs>
        <w:ind w:left="792" w:hanging="432"/>
      </w:pPr>
      <w:rPr>
        <w:rFonts w:cs="Times New Roman"/>
      </w:rPr>
    </w:lvl>
    <w:lvl w:ilvl="2" w:tentative="0">
      <w:start w:val="1"/>
      <w:numFmt w:val="decimal"/>
      <w:pStyle w:val="936"/>
      <w:lvlText w:val="%1.%2.%3."/>
      <w:lvlJc w:val="left"/>
      <w:pPr>
        <w:tabs>
          <w:tab w:val="left" w:pos="1440"/>
        </w:tabs>
        <w:ind w:left="1224" w:hanging="504"/>
      </w:pPr>
      <w:rPr>
        <w:rFonts w:cs="Times New Roman"/>
      </w:rPr>
    </w:lvl>
    <w:lvl w:ilvl="3" w:tentative="0">
      <w:start w:val="1"/>
      <w:numFmt w:val="decimal"/>
      <w:lvlText w:val="%1.%2.%3.%4."/>
      <w:lvlJc w:val="left"/>
      <w:pPr>
        <w:tabs>
          <w:tab w:val="left" w:pos="1800"/>
        </w:tabs>
        <w:ind w:left="1728" w:hanging="648"/>
      </w:pPr>
      <w:rPr>
        <w:rFonts w:cs="Times New Roman"/>
      </w:rPr>
    </w:lvl>
    <w:lvl w:ilvl="4" w:tentative="0">
      <w:start w:val="1"/>
      <w:numFmt w:val="decimal"/>
      <w:lvlText w:val="%1.%2.%3.%4.%5."/>
      <w:lvlJc w:val="left"/>
      <w:pPr>
        <w:tabs>
          <w:tab w:val="left" w:pos="2520"/>
        </w:tabs>
        <w:ind w:left="2232" w:hanging="792"/>
      </w:pPr>
      <w:rPr>
        <w:rFonts w:cs="Times New Roman"/>
      </w:rPr>
    </w:lvl>
    <w:lvl w:ilvl="5" w:tentative="0">
      <w:start w:val="1"/>
      <w:numFmt w:val="decimal"/>
      <w:lvlText w:val="%1.%2.%3.%4.%5.%6."/>
      <w:lvlJc w:val="left"/>
      <w:pPr>
        <w:tabs>
          <w:tab w:val="left" w:pos="2880"/>
        </w:tabs>
        <w:ind w:left="2736" w:hanging="936"/>
      </w:pPr>
      <w:rPr>
        <w:rFonts w:cs="Times New Roman"/>
      </w:rPr>
    </w:lvl>
    <w:lvl w:ilvl="6" w:tentative="0">
      <w:start w:val="1"/>
      <w:numFmt w:val="decimal"/>
      <w:lvlText w:val="%1.%2.%3.%4.%5.%6.%7."/>
      <w:lvlJc w:val="left"/>
      <w:pPr>
        <w:tabs>
          <w:tab w:val="left" w:pos="3600"/>
        </w:tabs>
        <w:ind w:left="3240" w:hanging="1080"/>
      </w:pPr>
      <w:rPr>
        <w:rFonts w:cs="Times New Roman"/>
      </w:rPr>
    </w:lvl>
    <w:lvl w:ilvl="7" w:tentative="0">
      <w:start w:val="1"/>
      <w:numFmt w:val="decimal"/>
      <w:lvlText w:val="%1.%2.%3.%4.%5.%6.%7.%8."/>
      <w:lvlJc w:val="left"/>
      <w:pPr>
        <w:tabs>
          <w:tab w:val="left" w:pos="3960"/>
        </w:tabs>
        <w:ind w:left="3744" w:hanging="1224"/>
      </w:pPr>
      <w:rPr>
        <w:rFonts w:cs="Times New Roman"/>
      </w:rPr>
    </w:lvl>
    <w:lvl w:ilvl="8" w:tentative="0">
      <w:start w:val="1"/>
      <w:numFmt w:val="decimal"/>
      <w:lvlText w:val="%1.%2.%3.%4.%5.%6.%7.%8.%9."/>
      <w:lvlJc w:val="left"/>
      <w:pPr>
        <w:tabs>
          <w:tab w:val="left" w:pos="4680"/>
        </w:tabs>
        <w:ind w:left="4320" w:hanging="1440"/>
      </w:pPr>
      <w:rPr>
        <w:rFonts w:cs="Times New Roman"/>
      </w:rPr>
    </w:lvl>
  </w:abstractNum>
  <w:abstractNum w:abstractNumId="30">
    <w:nsid w:val="30C00582"/>
    <w:multiLevelType w:val="multilevel"/>
    <w:tmpl w:val="30C0058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1">
    <w:nsid w:val="314C74F9"/>
    <w:multiLevelType w:val="multilevel"/>
    <w:tmpl w:val="314C74F9"/>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21D4D29"/>
    <w:multiLevelType w:val="multilevel"/>
    <w:tmpl w:val="321D4D29"/>
    <w:lvl w:ilvl="0" w:tentative="0">
      <w:start w:val="1"/>
      <w:numFmt w:val="bullet"/>
      <w:lvlText w:val=""/>
      <w:lvlJc w:val="left"/>
      <w:pPr>
        <w:ind w:left="1287" w:hanging="360"/>
      </w:pPr>
      <w:rPr>
        <w:rFonts w:hint="default" w:ascii="Symbol" w:hAnsi="Symbol"/>
      </w:rPr>
    </w:lvl>
    <w:lvl w:ilvl="1" w:tentative="0">
      <w:start w:val="0"/>
      <w:numFmt w:val="bullet"/>
      <w:lvlText w:val="•"/>
      <w:lvlJc w:val="left"/>
      <w:pPr>
        <w:ind w:left="2007" w:hanging="360"/>
      </w:pPr>
      <w:rPr>
        <w:rFonts w:hint="default" w:ascii="Times New Roman" w:hAnsi="Times New Roman" w:eastAsia="Times New Roman" w:cs="Times New Roman"/>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3">
    <w:nsid w:val="34851DFB"/>
    <w:multiLevelType w:val="multilevel"/>
    <w:tmpl w:val="34851DF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4">
    <w:nsid w:val="34914EAB"/>
    <w:multiLevelType w:val="multilevel"/>
    <w:tmpl w:val="34914EAB"/>
    <w:lvl w:ilvl="0" w:tentative="0">
      <w:start w:val="1"/>
      <w:numFmt w:val="decimal"/>
      <w:pStyle w:val="924"/>
      <w:lvlText w:val="Рисунок %1."/>
      <w:lvlJc w:val="left"/>
      <w:pPr>
        <w:ind w:left="1386" w:hanging="36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rPr>
    </w:lvl>
    <w:lvl w:ilvl="1" w:tentative="0">
      <w:start w:val="1"/>
      <w:numFmt w:val="lowerLetter"/>
      <w:lvlText w:val="%2."/>
      <w:lvlJc w:val="left"/>
      <w:pPr>
        <w:ind w:left="2466" w:hanging="360"/>
      </w:pPr>
      <w:rPr>
        <w:rFonts w:cs="Times New Roman"/>
      </w:rPr>
    </w:lvl>
    <w:lvl w:ilvl="2" w:tentative="0">
      <w:start w:val="1"/>
      <w:numFmt w:val="lowerRoman"/>
      <w:lvlText w:val="%3."/>
      <w:lvlJc w:val="right"/>
      <w:pPr>
        <w:ind w:left="3186" w:hanging="180"/>
      </w:pPr>
      <w:rPr>
        <w:rFonts w:cs="Times New Roman"/>
      </w:rPr>
    </w:lvl>
    <w:lvl w:ilvl="3" w:tentative="0">
      <w:start w:val="1"/>
      <w:numFmt w:val="decimal"/>
      <w:lvlText w:val="%4."/>
      <w:lvlJc w:val="left"/>
      <w:pPr>
        <w:ind w:left="3906" w:hanging="360"/>
      </w:pPr>
      <w:rPr>
        <w:rFonts w:cs="Times New Roman"/>
      </w:rPr>
    </w:lvl>
    <w:lvl w:ilvl="4" w:tentative="0">
      <w:start w:val="1"/>
      <w:numFmt w:val="lowerLetter"/>
      <w:lvlText w:val="%5."/>
      <w:lvlJc w:val="left"/>
      <w:pPr>
        <w:ind w:left="4626" w:hanging="360"/>
      </w:pPr>
      <w:rPr>
        <w:rFonts w:cs="Times New Roman"/>
      </w:rPr>
    </w:lvl>
    <w:lvl w:ilvl="5" w:tentative="0">
      <w:start w:val="1"/>
      <w:numFmt w:val="lowerRoman"/>
      <w:lvlText w:val="%6."/>
      <w:lvlJc w:val="right"/>
      <w:pPr>
        <w:ind w:left="5346" w:hanging="180"/>
      </w:pPr>
      <w:rPr>
        <w:rFonts w:cs="Times New Roman"/>
      </w:rPr>
    </w:lvl>
    <w:lvl w:ilvl="6" w:tentative="0">
      <w:start w:val="1"/>
      <w:numFmt w:val="decimal"/>
      <w:lvlText w:val="%7."/>
      <w:lvlJc w:val="left"/>
      <w:pPr>
        <w:ind w:left="6066" w:hanging="360"/>
      </w:pPr>
      <w:rPr>
        <w:rFonts w:cs="Times New Roman"/>
      </w:rPr>
    </w:lvl>
    <w:lvl w:ilvl="7" w:tentative="0">
      <w:start w:val="1"/>
      <w:numFmt w:val="lowerLetter"/>
      <w:lvlText w:val="%8."/>
      <w:lvlJc w:val="left"/>
      <w:pPr>
        <w:ind w:left="6786" w:hanging="360"/>
      </w:pPr>
      <w:rPr>
        <w:rFonts w:cs="Times New Roman"/>
      </w:rPr>
    </w:lvl>
    <w:lvl w:ilvl="8" w:tentative="0">
      <w:start w:val="1"/>
      <w:numFmt w:val="lowerRoman"/>
      <w:lvlText w:val="%9."/>
      <w:lvlJc w:val="right"/>
      <w:pPr>
        <w:ind w:left="7506" w:hanging="180"/>
      </w:pPr>
      <w:rPr>
        <w:rFonts w:cs="Times New Roman"/>
      </w:rPr>
    </w:lvl>
  </w:abstractNum>
  <w:abstractNum w:abstractNumId="35">
    <w:nsid w:val="39A23909"/>
    <w:multiLevelType w:val="multilevel"/>
    <w:tmpl w:val="39A23909"/>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A1168AB"/>
    <w:multiLevelType w:val="multilevel"/>
    <w:tmpl w:val="3A1168AB"/>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7">
    <w:nsid w:val="3FD74B39"/>
    <w:multiLevelType w:val="multilevel"/>
    <w:tmpl w:val="3FD74B39"/>
    <w:lvl w:ilvl="0" w:tentative="0">
      <w:start w:val="1"/>
      <w:numFmt w:val="bullet"/>
      <w:pStyle w:val="1005"/>
      <w:lvlText w:val=""/>
      <w:lvlJc w:val="left"/>
      <w:pPr>
        <w:tabs>
          <w:tab w:val="left" w:pos="1134"/>
        </w:tabs>
        <w:ind w:left="1134" w:hanging="567"/>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419378A5"/>
    <w:multiLevelType w:val="multilevel"/>
    <w:tmpl w:val="419378A5"/>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9">
    <w:nsid w:val="44831F1D"/>
    <w:multiLevelType w:val="multilevel"/>
    <w:tmpl w:val="44831F1D"/>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48047CFC"/>
    <w:multiLevelType w:val="multilevel"/>
    <w:tmpl w:val="48047CFC"/>
    <w:lvl w:ilvl="0" w:tentative="0">
      <w:start w:val="1"/>
      <w:numFmt w:val="decimal"/>
      <w:pStyle w:val="1021"/>
      <w:lvlText w:val="Таблица П1 %1 "/>
      <w:lvlJc w:val="left"/>
      <w:pPr>
        <w:ind w:left="360" w:hanging="360"/>
      </w:pPr>
      <w:rPr>
        <w:rFonts w:hint="default" w:ascii="Times New Roman" w:hAnsi="Times New Roman" w:cs="Times New Roman"/>
        <w:b/>
        <w:i w:val="0"/>
        <w:caps w:val="0"/>
        <w:strike w:val="0"/>
        <w:dstrike w:val="0"/>
        <w:vanish w:val="0"/>
        <w:color w:val="000000"/>
        <w:spacing w:val="0"/>
        <w:w w:val="100"/>
        <w:kern w:val="0"/>
        <w:position w:val="0"/>
        <w:sz w:val="24"/>
        <w:szCs w:val="24"/>
        <w:u w:val="none"/>
        <w:vertAlign w:val="baseline"/>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41">
    <w:nsid w:val="4E8D4041"/>
    <w:multiLevelType w:val="multilevel"/>
    <w:tmpl w:val="4E8D40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F0A7248"/>
    <w:multiLevelType w:val="multilevel"/>
    <w:tmpl w:val="4F0A7248"/>
    <w:lvl w:ilvl="0" w:tentative="0">
      <w:start w:val="1"/>
      <w:numFmt w:val="bullet"/>
      <w:pStyle w:val="2421"/>
      <w:lvlText w:val=""/>
      <w:lvlJc w:val="left"/>
      <w:pPr>
        <w:tabs>
          <w:tab w:val="left" w:pos="1789"/>
        </w:tabs>
        <w:ind w:left="1789" w:hanging="360"/>
      </w:pPr>
      <w:rPr>
        <w:rFonts w:hint="default" w:ascii="Symbol" w:hAnsi="Symbol"/>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3">
    <w:nsid w:val="513815CC"/>
    <w:multiLevelType w:val="multilevel"/>
    <w:tmpl w:val="513815C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4">
    <w:nsid w:val="519632EB"/>
    <w:multiLevelType w:val="multilevel"/>
    <w:tmpl w:val="519632EB"/>
    <w:lvl w:ilvl="0" w:tentative="0">
      <w:start w:val="1"/>
      <w:numFmt w:val="decimal"/>
      <w:pStyle w:val="968"/>
      <w:lvlText w:val="%1."/>
      <w:lvlJc w:val="left"/>
      <w:pPr>
        <w:tabs>
          <w:tab w:val="left" w:pos="567"/>
        </w:tabs>
        <w:ind w:left="567" w:hanging="567"/>
      </w:pPr>
      <w:rPr>
        <w:rFonts w:cs="Times New Roman"/>
      </w:rPr>
    </w:lvl>
    <w:lvl w:ilvl="1" w:tentative="0">
      <w:start w:val="1"/>
      <w:numFmt w:val="decimal"/>
      <w:lvlText w:val="%1.%2."/>
      <w:lvlJc w:val="left"/>
      <w:pPr>
        <w:tabs>
          <w:tab w:val="left" w:pos="1134"/>
        </w:tabs>
        <w:ind w:left="1134" w:hanging="567"/>
      </w:pPr>
      <w:rPr>
        <w:rFonts w:cs="Times New Roman"/>
      </w:rPr>
    </w:lvl>
    <w:lvl w:ilvl="2" w:tentative="0">
      <w:start w:val="1"/>
      <w:numFmt w:val="decimal"/>
      <w:lvlText w:val="%1.%2.%3."/>
      <w:lvlJc w:val="left"/>
      <w:pPr>
        <w:tabs>
          <w:tab w:val="left" w:pos="1701"/>
        </w:tabs>
        <w:ind w:left="1701" w:hanging="567"/>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45">
    <w:nsid w:val="51FD120E"/>
    <w:multiLevelType w:val="multilevel"/>
    <w:tmpl w:val="51FD120E"/>
    <w:lvl w:ilvl="0" w:tentative="0">
      <w:start w:val="1"/>
      <w:numFmt w:val="decimal"/>
      <w:pStyle w:val="991"/>
      <w:lvlText w:val="Таблица %1. "/>
      <w:lvlJc w:val="left"/>
      <w:pPr>
        <w:ind w:left="360" w:hanging="360"/>
      </w:pPr>
      <w:rPr>
        <w:rFonts w:cs="Times New Roman"/>
        <w:b/>
        <w:i w:val="0"/>
      </w:rPr>
    </w:lvl>
    <w:lvl w:ilvl="1" w:tentative="0">
      <w:start w:val="1"/>
      <w:numFmt w:val="lowerLetter"/>
      <w:lvlText w:val="%2)"/>
      <w:lvlJc w:val="left"/>
      <w:pPr>
        <w:ind w:left="720" w:hanging="360"/>
      </w:pPr>
      <w:rPr>
        <w:rFonts w:cs="Times New Roman"/>
      </w:rPr>
    </w:lvl>
    <w:lvl w:ilvl="2" w:tentative="0">
      <w:start w:val="1"/>
      <w:numFmt w:val="lowerRoman"/>
      <w:lvlText w:val="%3)"/>
      <w:lvlJc w:val="left"/>
      <w:pPr>
        <w:ind w:left="1080" w:hanging="360"/>
      </w:pPr>
      <w:rPr>
        <w:rFonts w:cs="Times New Roman"/>
      </w:rPr>
    </w:lvl>
    <w:lvl w:ilvl="3" w:tentative="0">
      <w:start w:val="1"/>
      <w:numFmt w:val="decimal"/>
      <w:lvlText w:val="(%4)"/>
      <w:lvlJc w:val="left"/>
      <w:pPr>
        <w:ind w:left="1440" w:hanging="360"/>
      </w:pPr>
      <w:rPr>
        <w:rFonts w:cs="Times New Roman"/>
      </w:rPr>
    </w:lvl>
    <w:lvl w:ilvl="4" w:tentative="0">
      <w:start w:val="1"/>
      <w:numFmt w:val="lowerLetter"/>
      <w:lvlText w:val="(%5)"/>
      <w:lvlJc w:val="left"/>
      <w:pPr>
        <w:ind w:left="1800" w:hanging="360"/>
      </w:pPr>
      <w:rPr>
        <w:rFonts w:cs="Times New Roman"/>
      </w:rPr>
    </w:lvl>
    <w:lvl w:ilvl="5" w:tentative="0">
      <w:start w:val="1"/>
      <w:numFmt w:val="lowerRoman"/>
      <w:lvlText w:val="(%6)"/>
      <w:lvlJc w:val="left"/>
      <w:pPr>
        <w:ind w:left="2160" w:hanging="360"/>
      </w:pPr>
      <w:rPr>
        <w:rFonts w:cs="Times New Roman"/>
      </w:rPr>
    </w:lvl>
    <w:lvl w:ilvl="6" w:tentative="0">
      <w:start w:val="1"/>
      <w:numFmt w:val="decimal"/>
      <w:lvlText w:val="%7."/>
      <w:lvlJc w:val="left"/>
      <w:pPr>
        <w:ind w:left="2520" w:hanging="360"/>
      </w:pPr>
      <w:rPr>
        <w:rFonts w:cs="Times New Roman"/>
      </w:rPr>
    </w:lvl>
    <w:lvl w:ilvl="7" w:tentative="0">
      <w:start w:val="1"/>
      <w:numFmt w:val="lowerLetter"/>
      <w:lvlText w:val="%8."/>
      <w:lvlJc w:val="left"/>
      <w:pPr>
        <w:ind w:left="2880" w:hanging="360"/>
      </w:pPr>
      <w:rPr>
        <w:rFonts w:cs="Times New Roman"/>
      </w:rPr>
    </w:lvl>
    <w:lvl w:ilvl="8" w:tentative="0">
      <w:start w:val="1"/>
      <w:numFmt w:val="lowerRoman"/>
      <w:lvlText w:val="%9."/>
      <w:lvlJc w:val="left"/>
      <w:pPr>
        <w:ind w:left="3240" w:hanging="360"/>
      </w:pPr>
      <w:rPr>
        <w:rFonts w:cs="Times New Roman"/>
      </w:rPr>
    </w:lvl>
  </w:abstractNum>
  <w:abstractNum w:abstractNumId="46">
    <w:nsid w:val="53A109EC"/>
    <w:multiLevelType w:val="multilevel"/>
    <w:tmpl w:val="53A109EC"/>
    <w:lvl w:ilvl="0" w:tentative="0">
      <w:start w:val="1"/>
      <w:numFmt w:val="bullet"/>
      <w:lvlText w:val="-"/>
      <w:lvlJc w:val="left"/>
      <w:pPr>
        <w:ind w:left="1287" w:hanging="360"/>
      </w:pPr>
      <w:rPr>
        <w:rFonts w:hint="default"/>
      </w:rPr>
    </w:lvl>
    <w:lvl w:ilvl="1" w:tentative="0">
      <w:start w:val="1"/>
      <w:numFmt w:val="bullet"/>
      <w:lvlText w:val="-"/>
      <w:lvlJc w:val="left"/>
      <w:pPr>
        <w:ind w:left="2007" w:hanging="360"/>
      </w:pPr>
      <w:rPr>
        <w:rFonts w:hint="default"/>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7">
    <w:nsid w:val="56500CB2"/>
    <w:multiLevelType w:val="multilevel"/>
    <w:tmpl w:val="56500CB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7C019D8"/>
    <w:multiLevelType w:val="multilevel"/>
    <w:tmpl w:val="57C019D8"/>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9">
    <w:nsid w:val="5E6A456E"/>
    <w:multiLevelType w:val="multilevel"/>
    <w:tmpl w:val="5E6A456E"/>
    <w:lvl w:ilvl="0" w:tentative="0">
      <w:start w:val="1"/>
      <w:numFmt w:val="bullet"/>
      <w:pStyle w:val="530"/>
      <w:lvlText w:val=""/>
      <w:lvlJc w:val="left"/>
      <w:pPr>
        <w:tabs>
          <w:tab w:val="left" w:pos="1117"/>
        </w:tabs>
        <w:ind w:left="1117" w:hanging="397"/>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50">
    <w:nsid w:val="63962EE7"/>
    <w:multiLevelType w:val="multilevel"/>
    <w:tmpl w:val="63962EE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1">
    <w:nsid w:val="63D70497"/>
    <w:multiLevelType w:val="multilevel"/>
    <w:tmpl w:val="63D704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2">
    <w:nsid w:val="65F77618"/>
    <w:multiLevelType w:val="multilevel"/>
    <w:tmpl w:val="65F77618"/>
    <w:lvl w:ilvl="0" w:tentative="0">
      <w:start w:val="0"/>
      <w:numFmt w:val="bullet"/>
      <w:pStyle w:val="1007"/>
      <w:lvlText w:val="-"/>
      <w:lvlJc w:val="left"/>
      <w:pPr>
        <w:ind w:left="1429" w:hanging="360"/>
      </w:pPr>
      <w:rPr>
        <w:rFonts w:hint="default" w:ascii="Tahoma" w:hAnsi="Tahoma" w:eastAsia="Times New Roman" w:cs="Times New Roman"/>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53">
    <w:nsid w:val="67520B0B"/>
    <w:multiLevelType w:val="multilevel"/>
    <w:tmpl w:val="67520B0B"/>
    <w:lvl w:ilvl="0" w:tentative="0">
      <w:start w:val="1"/>
      <w:numFmt w:val="decimal"/>
      <w:pStyle w:val="933"/>
      <w:lvlText w:val="%1."/>
      <w:lvlJc w:val="left"/>
      <w:pPr>
        <w:tabs>
          <w:tab w:val="left" w:pos="360"/>
        </w:tabs>
        <w:ind w:left="360" w:hanging="360"/>
      </w:pPr>
      <w:rPr>
        <w:rFonts w:cs="Times New Roman"/>
      </w:rPr>
    </w:lvl>
    <w:lvl w:ilvl="1" w:tentative="0">
      <w:start w:val="1"/>
      <w:numFmt w:val="decimal"/>
      <w:lvlText w:val="%1.%2."/>
      <w:lvlJc w:val="left"/>
      <w:pPr>
        <w:tabs>
          <w:tab w:val="left" w:pos="792"/>
        </w:tabs>
        <w:ind w:left="792" w:hanging="432"/>
      </w:pPr>
      <w:rPr>
        <w:rFonts w:cs="Times New Roman"/>
      </w:rPr>
    </w:lvl>
    <w:lvl w:ilvl="2" w:tentative="0">
      <w:start w:val="1"/>
      <w:numFmt w:val="decimal"/>
      <w:lvlText w:val="%1.%2.%3."/>
      <w:lvlJc w:val="left"/>
      <w:pPr>
        <w:tabs>
          <w:tab w:val="left" w:pos="1440"/>
        </w:tabs>
        <w:ind w:left="1224" w:hanging="504"/>
      </w:pPr>
      <w:rPr>
        <w:rFonts w:cs="Times New Roman"/>
      </w:rPr>
    </w:lvl>
    <w:lvl w:ilvl="3" w:tentative="0">
      <w:start w:val="1"/>
      <w:numFmt w:val="decimal"/>
      <w:lvlText w:val="%1.%2.%3.%4."/>
      <w:lvlJc w:val="left"/>
      <w:pPr>
        <w:tabs>
          <w:tab w:val="left" w:pos="1800"/>
        </w:tabs>
        <w:ind w:left="1728" w:hanging="648"/>
      </w:pPr>
      <w:rPr>
        <w:rFonts w:cs="Times New Roman"/>
      </w:rPr>
    </w:lvl>
    <w:lvl w:ilvl="4" w:tentative="0">
      <w:start w:val="1"/>
      <w:numFmt w:val="decimal"/>
      <w:lvlText w:val="%1.%2.%3.%4.%5."/>
      <w:lvlJc w:val="left"/>
      <w:pPr>
        <w:tabs>
          <w:tab w:val="left" w:pos="2520"/>
        </w:tabs>
        <w:ind w:left="2232" w:hanging="792"/>
      </w:pPr>
      <w:rPr>
        <w:rFonts w:cs="Times New Roman"/>
      </w:rPr>
    </w:lvl>
    <w:lvl w:ilvl="5" w:tentative="0">
      <w:start w:val="1"/>
      <w:numFmt w:val="decimal"/>
      <w:lvlText w:val="%1.%2.%3.%4.%5.%6."/>
      <w:lvlJc w:val="left"/>
      <w:pPr>
        <w:tabs>
          <w:tab w:val="left" w:pos="2880"/>
        </w:tabs>
        <w:ind w:left="2736" w:hanging="936"/>
      </w:pPr>
      <w:rPr>
        <w:rFonts w:cs="Times New Roman"/>
      </w:rPr>
    </w:lvl>
    <w:lvl w:ilvl="6" w:tentative="0">
      <w:start w:val="1"/>
      <w:numFmt w:val="decimal"/>
      <w:lvlText w:val="%1.%2.%3.%4.%5.%6.%7."/>
      <w:lvlJc w:val="left"/>
      <w:pPr>
        <w:tabs>
          <w:tab w:val="left" w:pos="3600"/>
        </w:tabs>
        <w:ind w:left="3240" w:hanging="1080"/>
      </w:pPr>
      <w:rPr>
        <w:rFonts w:cs="Times New Roman"/>
      </w:rPr>
    </w:lvl>
    <w:lvl w:ilvl="7" w:tentative="0">
      <w:start w:val="1"/>
      <w:numFmt w:val="decimal"/>
      <w:lvlText w:val="%1.%2.%3.%4.%5.%6.%7.%8."/>
      <w:lvlJc w:val="left"/>
      <w:pPr>
        <w:tabs>
          <w:tab w:val="left" w:pos="3960"/>
        </w:tabs>
        <w:ind w:left="3744" w:hanging="1224"/>
      </w:pPr>
      <w:rPr>
        <w:rFonts w:cs="Times New Roman"/>
      </w:rPr>
    </w:lvl>
    <w:lvl w:ilvl="8" w:tentative="0">
      <w:start w:val="1"/>
      <w:numFmt w:val="decimal"/>
      <w:lvlText w:val="%1.%2.%3.%4.%5.%6.%7.%8.%9."/>
      <w:lvlJc w:val="left"/>
      <w:pPr>
        <w:tabs>
          <w:tab w:val="left" w:pos="4680"/>
        </w:tabs>
        <w:ind w:left="4320" w:hanging="1440"/>
      </w:pPr>
      <w:rPr>
        <w:rFonts w:cs="Times New Roman"/>
      </w:rPr>
    </w:lvl>
  </w:abstractNum>
  <w:abstractNum w:abstractNumId="54">
    <w:nsid w:val="6A877AB7"/>
    <w:multiLevelType w:val="multilevel"/>
    <w:tmpl w:val="6A877AB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B156313"/>
    <w:multiLevelType w:val="multilevel"/>
    <w:tmpl w:val="6B156313"/>
    <w:lvl w:ilvl="0" w:tentative="0">
      <w:start w:val="1"/>
      <w:numFmt w:val="decimal"/>
      <w:pStyle w:val="558"/>
      <w:lvlText w:val="%1."/>
      <w:lvlJc w:val="left"/>
      <w:pPr>
        <w:ind w:left="360" w:hanging="360"/>
      </w:pPr>
      <w:rPr>
        <w:rFonts w:hint="default"/>
      </w:rPr>
    </w:lvl>
    <w:lvl w:ilvl="1" w:tentative="0">
      <w:start w:val="1"/>
      <w:numFmt w:val="decimal"/>
      <w:pStyle w:val="559"/>
      <w:lvlText w:val="2.%2."/>
      <w:lvlJc w:val="left"/>
      <w:pPr>
        <w:ind w:left="716" w:hanging="432"/>
      </w:pPr>
      <w:rPr>
        <w:rFonts w:hint="default"/>
      </w:rPr>
    </w:lvl>
    <w:lvl w:ilvl="2" w:tentative="0">
      <w:start w:val="1"/>
      <w:numFmt w:val="decimal"/>
      <w:pStyle w:val="560"/>
      <w:lvlText w:val="3.2.1%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56">
    <w:nsid w:val="6DF23E92"/>
    <w:multiLevelType w:val="multilevel"/>
    <w:tmpl w:val="6DF23E9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E032CB5"/>
    <w:multiLevelType w:val="multilevel"/>
    <w:tmpl w:val="6E032CB5"/>
    <w:lvl w:ilvl="0" w:tentative="0">
      <w:start w:val="1"/>
      <w:numFmt w:val="decimal"/>
      <w:lvlText w:val="%1."/>
      <w:lvlJc w:val="left"/>
      <w:pPr>
        <w:ind w:left="2436" w:hanging="450"/>
      </w:pPr>
      <w:rPr>
        <w:rFonts w:hint="default" w:ascii="Cambria" w:hAnsi="Cambria" w:cs="Times New Roman"/>
      </w:rPr>
    </w:lvl>
    <w:lvl w:ilvl="1" w:tentative="0">
      <w:start w:val="1"/>
      <w:numFmt w:val="decimal"/>
      <w:lvlText w:val="%1.%2."/>
      <w:lvlJc w:val="left"/>
      <w:pPr>
        <w:ind w:left="1288" w:hanging="720"/>
      </w:pPr>
      <w:rPr>
        <w:rFonts w:hint="default" w:ascii="Times New Roman" w:hAnsi="Times New Roman" w:cs="Times New Roman"/>
        <w:b/>
        <w:i w:val="0"/>
        <w:sz w:val="30"/>
        <w:szCs w:val="30"/>
      </w:rPr>
    </w:lvl>
    <w:lvl w:ilvl="2" w:tentative="0">
      <w:start w:val="1"/>
      <w:numFmt w:val="decimal"/>
      <w:lvlText w:val="%1.%2.%3."/>
      <w:lvlJc w:val="left"/>
      <w:pPr>
        <w:ind w:left="1430" w:hanging="720"/>
      </w:pPr>
      <w:rPr>
        <w:rFonts w:hint="default"/>
        <w:i w:val="0"/>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8">
    <w:nsid w:val="6E143A2C"/>
    <w:multiLevelType w:val="multilevel"/>
    <w:tmpl w:val="6E143A2C"/>
    <w:lvl w:ilvl="0" w:tentative="0">
      <w:start w:val="1"/>
      <w:numFmt w:val="decimal"/>
      <w:pStyle w:val="949"/>
      <w:lvlText w:val="Таблица %1 - "/>
      <w:lvlJc w:val="left"/>
      <w:pPr>
        <w:tabs>
          <w:tab w:val="left" w:pos="1422"/>
        </w:tabs>
        <w:ind w:left="288" w:firstLine="0"/>
      </w:pPr>
      <w:rPr>
        <w:rFonts w:hint="default" w:ascii="Times New Roman" w:hAnsi="Times New Roman" w:cs="Times New Roman"/>
        <w:b/>
        <w:i w:val="0"/>
        <w:caps w:val="0"/>
        <w:strike w:val="0"/>
        <w:dstrike w:val="0"/>
        <w:vanish w:val="0"/>
        <w:color w:val="000000"/>
        <w:sz w:val="24"/>
        <w:szCs w:val="24"/>
        <w:u w:val="none"/>
        <w:vertAlign w:val="baseline"/>
      </w:rPr>
    </w:lvl>
    <w:lvl w:ilvl="1" w:tentative="0">
      <w:start w:val="1"/>
      <w:numFmt w:val="decimalZero"/>
      <w:isLgl/>
      <w:lvlText w:val="Раздел %1.%2"/>
      <w:lvlJc w:val="left"/>
      <w:pPr>
        <w:tabs>
          <w:tab w:val="left" w:pos="1440"/>
        </w:tabs>
        <w:ind w:left="0" w:firstLine="0"/>
      </w:pPr>
      <w:rPr>
        <w:rFonts w:cs="Times New Roman"/>
      </w:rPr>
    </w:lvl>
    <w:lvl w:ilvl="2" w:tentative="0">
      <w:start w:val="1"/>
      <w:numFmt w:val="lowerLetter"/>
      <w:lvlText w:val="(%3)"/>
      <w:lvlJc w:val="left"/>
      <w:pPr>
        <w:tabs>
          <w:tab w:val="left" w:pos="720"/>
        </w:tabs>
        <w:ind w:left="720" w:hanging="432"/>
      </w:pPr>
      <w:rPr>
        <w:rFonts w:cs="Times New Roman"/>
      </w:rPr>
    </w:lvl>
    <w:lvl w:ilvl="3" w:tentative="0">
      <w:start w:val="1"/>
      <w:numFmt w:val="lowerRoman"/>
      <w:lvlText w:val="(%4)"/>
      <w:lvlJc w:val="right"/>
      <w:pPr>
        <w:tabs>
          <w:tab w:val="left" w:pos="864"/>
        </w:tabs>
        <w:ind w:left="864" w:hanging="144"/>
      </w:pPr>
      <w:rPr>
        <w:rFonts w:cs="Times New Roman"/>
      </w:rPr>
    </w:lvl>
    <w:lvl w:ilvl="4" w:tentative="0">
      <w:start w:val="1"/>
      <w:numFmt w:val="decimal"/>
      <w:lvlText w:val="%5)"/>
      <w:lvlJc w:val="left"/>
      <w:pPr>
        <w:tabs>
          <w:tab w:val="left" w:pos="1008"/>
        </w:tabs>
        <w:ind w:left="1008" w:hanging="432"/>
      </w:pPr>
      <w:rPr>
        <w:rFonts w:cs="Times New Roman"/>
      </w:rPr>
    </w:lvl>
    <w:lvl w:ilvl="5" w:tentative="0">
      <w:start w:val="1"/>
      <w:numFmt w:val="lowerLetter"/>
      <w:lvlText w:val="%6)"/>
      <w:lvlJc w:val="left"/>
      <w:pPr>
        <w:tabs>
          <w:tab w:val="left" w:pos="1152"/>
        </w:tabs>
        <w:ind w:left="1152" w:hanging="432"/>
      </w:pPr>
      <w:rPr>
        <w:rFonts w:cs="Times New Roman"/>
      </w:rPr>
    </w:lvl>
    <w:lvl w:ilvl="6" w:tentative="0">
      <w:start w:val="1"/>
      <w:numFmt w:val="lowerRoman"/>
      <w:lvlText w:val="%7)"/>
      <w:lvlJc w:val="right"/>
      <w:pPr>
        <w:tabs>
          <w:tab w:val="left" w:pos="1296"/>
        </w:tabs>
        <w:ind w:left="1296" w:hanging="288"/>
      </w:pPr>
      <w:rPr>
        <w:rFonts w:cs="Times New Roman"/>
      </w:rPr>
    </w:lvl>
    <w:lvl w:ilvl="7" w:tentative="0">
      <w:start w:val="1"/>
      <w:numFmt w:val="lowerLetter"/>
      <w:lvlText w:val="%8."/>
      <w:lvlJc w:val="left"/>
      <w:pPr>
        <w:tabs>
          <w:tab w:val="left" w:pos="1440"/>
        </w:tabs>
        <w:ind w:left="1440" w:hanging="432"/>
      </w:pPr>
      <w:rPr>
        <w:rFonts w:cs="Times New Roman"/>
      </w:rPr>
    </w:lvl>
    <w:lvl w:ilvl="8" w:tentative="0">
      <w:start w:val="1"/>
      <w:numFmt w:val="lowerRoman"/>
      <w:lvlText w:val="%9."/>
      <w:lvlJc w:val="right"/>
      <w:pPr>
        <w:tabs>
          <w:tab w:val="left" w:pos="1584"/>
        </w:tabs>
        <w:ind w:left="1584" w:hanging="144"/>
      </w:pPr>
      <w:rPr>
        <w:rFonts w:cs="Times New Roman"/>
      </w:rPr>
    </w:lvl>
  </w:abstractNum>
  <w:abstractNum w:abstractNumId="59">
    <w:nsid w:val="6EAA483B"/>
    <w:multiLevelType w:val="multilevel"/>
    <w:tmpl w:val="6EAA483B"/>
    <w:lvl w:ilvl="0" w:tentative="0">
      <w:start w:val="1"/>
      <w:numFmt w:val="bullet"/>
      <w:pStyle w:val="535"/>
      <w:lvlText w:val="-"/>
      <w:lvlJc w:val="left"/>
      <w:pPr>
        <w:ind w:left="1429" w:hanging="360"/>
      </w:pPr>
      <w:rPr>
        <w:rFonts w:hint="default" w:ascii="Arial" w:hAnsi="Aria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0">
    <w:nsid w:val="734B54E8"/>
    <w:multiLevelType w:val="multilevel"/>
    <w:tmpl w:val="734B54E8"/>
    <w:lvl w:ilvl="0" w:tentative="0">
      <w:start w:val="1"/>
      <w:numFmt w:val="bullet"/>
      <w:lvlText w:val="-"/>
      <w:lvlJc w:val="left"/>
      <w:pPr>
        <w:ind w:left="1720" w:hanging="360"/>
      </w:pPr>
      <w:rPr>
        <w:rFonts w:hint="default" w:ascii="Times New Roman" w:hAnsi="Times New Roman" w:cs="Times New Roman"/>
      </w:rPr>
    </w:lvl>
    <w:lvl w:ilvl="1" w:tentative="0">
      <w:start w:val="1"/>
      <w:numFmt w:val="bullet"/>
      <w:lvlText w:val="o"/>
      <w:lvlJc w:val="left"/>
      <w:pPr>
        <w:ind w:left="2440" w:hanging="360"/>
      </w:pPr>
      <w:rPr>
        <w:rFonts w:hint="default" w:ascii="Courier New" w:hAnsi="Courier New" w:cs="Courier New"/>
      </w:rPr>
    </w:lvl>
    <w:lvl w:ilvl="2" w:tentative="0">
      <w:start w:val="1"/>
      <w:numFmt w:val="bullet"/>
      <w:lvlText w:val=""/>
      <w:lvlJc w:val="left"/>
      <w:pPr>
        <w:ind w:left="3160" w:hanging="360"/>
      </w:pPr>
      <w:rPr>
        <w:rFonts w:hint="default" w:ascii="Wingdings" w:hAnsi="Wingdings"/>
      </w:rPr>
    </w:lvl>
    <w:lvl w:ilvl="3" w:tentative="0">
      <w:start w:val="1"/>
      <w:numFmt w:val="bullet"/>
      <w:lvlText w:val=""/>
      <w:lvlJc w:val="left"/>
      <w:pPr>
        <w:ind w:left="3880" w:hanging="360"/>
      </w:pPr>
      <w:rPr>
        <w:rFonts w:hint="default" w:ascii="Symbol" w:hAnsi="Symbol"/>
      </w:rPr>
    </w:lvl>
    <w:lvl w:ilvl="4" w:tentative="0">
      <w:start w:val="1"/>
      <w:numFmt w:val="bullet"/>
      <w:lvlText w:val="o"/>
      <w:lvlJc w:val="left"/>
      <w:pPr>
        <w:ind w:left="4600" w:hanging="360"/>
      </w:pPr>
      <w:rPr>
        <w:rFonts w:hint="default" w:ascii="Courier New" w:hAnsi="Courier New" w:cs="Courier New"/>
      </w:rPr>
    </w:lvl>
    <w:lvl w:ilvl="5" w:tentative="0">
      <w:start w:val="1"/>
      <w:numFmt w:val="bullet"/>
      <w:lvlText w:val=""/>
      <w:lvlJc w:val="left"/>
      <w:pPr>
        <w:ind w:left="5320" w:hanging="360"/>
      </w:pPr>
      <w:rPr>
        <w:rFonts w:hint="default" w:ascii="Wingdings" w:hAnsi="Wingdings"/>
      </w:rPr>
    </w:lvl>
    <w:lvl w:ilvl="6" w:tentative="0">
      <w:start w:val="1"/>
      <w:numFmt w:val="bullet"/>
      <w:lvlText w:val=""/>
      <w:lvlJc w:val="left"/>
      <w:pPr>
        <w:ind w:left="6040" w:hanging="360"/>
      </w:pPr>
      <w:rPr>
        <w:rFonts w:hint="default" w:ascii="Symbol" w:hAnsi="Symbol"/>
      </w:rPr>
    </w:lvl>
    <w:lvl w:ilvl="7" w:tentative="0">
      <w:start w:val="1"/>
      <w:numFmt w:val="bullet"/>
      <w:lvlText w:val="o"/>
      <w:lvlJc w:val="left"/>
      <w:pPr>
        <w:ind w:left="6760" w:hanging="360"/>
      </w:pPr>
      <w:rPr>
        <w:rFonts w:hint="default" w:ascii="Courier New" w:hAnsi="Courier New" w:cs="Courier New"/>
      </w:rPr>
    </w:lvl>
    <w:lvl w:ilvl="8" w:tentative="0">
      <w:start w:val="1"/>
      <w:numFmt w:val="bullet"/>
      <w:lvlText w:val=""/>
      <w:lvlJc w:val="left"/>
      <w:pPr>
        <w:ind w:left="7480" w:hanging="360"/>
      </w:pPr>
      <w:rPr>
        <w:rFonts w:hint="default" w:ascii="Wingdings" w:hAnsi="Wingdings"/>
      </w:rPr>
    </w:lvl>
  </w:abstractNum>
  <w:abstractNum w:abstractNumId="61">
    <w:nsid w:val="7C510774"/>
    <w:multiLevelType w:val="multilevel"/>
    <w:tmpl w:val="7C510774"/>
    <w:lvl w:ilvl="0" w:tentative="0">
      <w:start w:val="1"/>
      <w:numFmt w:val="bullet"/>
      <w:pStyle w:val="699"/>
      <w:lvlText w:val=""/>
      <w:lvlJc w:val="left"/>
      <w:pPr>
        <w:tabs>
          <w:tab w:val="left" w:pos="11"/>
        </w:tabs>
        <w:ind w:left="11" w:firstLine="709"/>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2">
    <w:nsid w:val="7CB32685"/>
    <w:multiLevelType w:val="multilevel"/>
    <w:tmpl w:val="7CB32685"/>
    <w:lvl w:ilvl="0" w:tentative="0">
      <w:start w:val="1"/>
      <w:numFmt w:val="bullet"/>
      <w:lvlText w:val=""/>
      <w:lvlJc w:val="left"/>
      <w:pPr>
        <w:ind w:left="1996" w:hanging="360"/>
      </w:pPr>
      <w:rPr>
        <w:rFonts w:hint="default" w:ascii="Symbol" w:hAnsi="Symbol"/>
      </w:rPr>
    </w:lvl>
    <w:lvl w:ilvl="1" w:tentative="0">
      <w:start w:val="1"/>
      <w:numFmt w:val="bullet"/>
      <w:lvlText w:val="o"/>
      <w:lvlJc w:val="left"/>
      <w:pPr>
        <w:ind w:left="2716" w:hanging="360"/>
      </w:pPr>
      <w:rPr>
        <w:rFonts w:hint="default" w:ascii="Courier New" w:hAnsi="Courier New" w:cs="Courier New"/>
      </w:rPr>
    </w:lvl>
    <w:lvl w:ilvl="2" w:tentative="0">
      <w:start w:val="1"/>
      <w:numFmt w:val="bullet"/>
      <w:lvlText w:val=""/>
      <w:lvlJc w:val="left"/>
      <w:pPr>
        <w:ind w:left="3436" w:hanging="360"/>
      </w:pPr>
      <w:rPr>
        <w:rFonts w:hint="default" w:ascii="Wingdings" w:hAnsi="Wingdings"/>
      </w:rPr>
    </w:lvl>
    <w:lvl w:ilvl="3" w:tentative="0">
      <w:start w:val="1"/>
      <w:numFmt w:val="bullet"/>
      <w:lvlText w:val=""/>
      <w:lvlJc w:val="left"/>
      <w:pPr>
        <w:ind w:left="4156" w:hanging="360"/>
      </w:pPr>
      <w:rPr>
        <w:rFonts w:hint="default" w:ascii="Symbol" w:hAnsi="Symbol"/>
      </w:rPr>
    </w:lvl>
    <w:lvl w:ilvl="4" w:tentative="0">
      <w:start w:val="1"/>
      <w:numFmt w:val="bullet"/>
      <w:lvlText w:val="o"/>
      <w:lvlJc w:val="left"/>
      <w:pPr>
        <w:ind w:left="4876" w:hanging="360"/>
      </w:pPr>
      <w:rPr>
        <w:rFonts w:hint="default" w:ascii="Courier New" w:hAnsi="Courier New" w:cs="Courier New"/>
      </w:rPr>
    </w:lvl>
    <w:lvl w:ilvl="5" w:tentative="0">
      <w:start w:val="1"/>
      <w:numFmt w:val="bullet"/>
      <w:lvlText w:val=""/>
      <w:lvlJc w:val="left"/>
      <w:pPr>
        <w:ind w:left="5596" w:hanging="360"/>
      </w:pPr>
      <w:rPr>
        <w:rFonts w:hint="default" w:ascii="Wingdings" w:hAnsi="Wingdings"/>
      </w:rPr>
    </w:lvl>
    <w:lvl w:ilvl="6" w:tentative="0">
      <w:start w:val="1"/>
      <w:numFmt w:val="bullet"/>
      <w:lvlText w:val=""/>
      <w:lvlJc w:val="left"/>
      <w:pPr>
        <w:ind w:left="6316" w:hanging="360"/>
      </w:pPr>
      <w:rPr>
        <w:rFonts w:hint="default" w:ascii="Symbol" w:hAnsi="Symbol"/>
      </w:rPr>
    </w:lvl>
    <w:lvl w:ilvl="7" w:tentative="0">
      <w:start w:val="1"/>
      <w:numFmt w:val="bullet"/>
      <w:lvlText w:val="o"/>
      <w:lvlJc w:val="left"/>
      <w:pPr>
        <w:ind w:left="7036" w:hanging="360"/>
      </w:pPr>
      <w:rPr>
        <w:rFonts w:hint="default" w:ascii="Courier New" w:hAnsi="Courier New" w:cs="Courier New"/>
      </w:rPr>
    </w:lvl>
    <w:lvl w:ilvl="8" w:tentative="0">
      <w:start w:val="1"/>
      <w:numFmt w:val="bullet"/>
      <w:lvlText w:val=""/>
      <w:lvlJc w:val="left"/>
      <w:pPr>
        <w:ind w:left="7756" w:hanging="360"/>
      </w:pPr>
      <w:rPr>
        <w:rFonts w:hint="default" w:ascii="Wingdings" w:hAnsi="Wingdings"/>
      </w:rPr>
    </w:lvl>
  </w:abstractNum>
  <w:abstractNum w:abstractNumId="63">
    <w:nsid w:val="7D9752DF"/>
    <w:multiLevelType w:val="multilevel"/>
    <w:tmpl w:val="7D9752D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4">
    <w:nsid w:val="7F1061AF"/>
    <w:multiLevelType w:val="multilevel"/>
    <w:tmpl w:val="7F1061AF"/>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7F44380B"/>
    <w:multiLevelType w:val="multilevel"/>
    <w:tmpl w:val="7F44380B"/>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num w:numId="1">
    <w:abstractNumId w:val="0"/>
  </w:num>
  <w:num w:numId="2">
    <w:abstractNumId w:val="2"/>
  </w:num>
  <w:num w:numId="3">
    <w:abstractNumId w:val="1"/>
  </w:num>
  <w:num w:numId="4">
    <w:abstractNumId w:val="4"/>
  </w:num>
  <w:num w:numId="5">
    <w:abstractNumId w:val="5"/>
  </w:num>
  <w:num w:numId="6">
    <w:abstractNumId w:val="6"/>
  </w:num>
  <w:num w:numId="7">
    <w:abstractNumId w:val="3"/>
  </w:num>
  <w:num w:numId="8">
    <w:abstractNumId w:val="7"/>
  </w:num>
  <w:num w:numId="9">
    <w:abstractNumId w:val="49"/>
  </w:num>
  <w:num w:numId="10">
    <w:abstractNumId w:val="59"/>
  </w:num>
  <w:num w:numId="11">
    <w:abstractNumId w:val="55"/>
  </w:num>
  <w:num w:numId="12">
    <w:abstractNumId w:val="61"/>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52"/>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42"/>
  </w:num>
  <w:num w:numId="30">
    <w:abstractNumId w:val="57"/>
  </w:num>
  <w:num w:numId="31">
    <w:abstractNumId w:val="54"/>
  </w:num>
  <w:num w:numId="32">
    <w:abstractNumId w:val="64"/>
  </w:num>
  <w:num w:numId="33">
    <w:abstractNumId w:val="56"/>
  </w:num>
  <w:num w:numId="34">
    <w:abstractNumId w:val="39"/>
  </w:num>
  <w:num w:numId="35">
    <w:abstractNumId w:val="47"/>
  </w:num>
  <w:num w:numId="36">
    <w:abstractNumId w:val="31"/>
  </w:num>
  <w:num w:numId="37">
    <w:abstractNumId w:val="13"/>
  </w:num>
  <w:num w:numId="38">
    <w:abstractNumId w:val="22"/>
  </w:num>
  <w:num w:numId="39">
    <w:abstractNumId w:val="35"/>
  </w:num>
  <w:num w:numId="40">
    <w:abstractNumId w:val="26"/>
  </w:num>
  <w:num w:numId="41">
    <w:abstractNumId w:val="33"/>
  </w:num>
  <w:num w:numId="42">
    <w:abstractNumId w:val="19"/>
  </w:num>
  <w:num w:numId="43">
    <w:abstractNumId w:val="30"/>
  </w:num>
  <w:num w:numId="44">
    <w:abstractNumId w:val="32"/>
  </w:num>
  <w:num w:numId="45">
    <w:abstractNumId w:val="46"/>
  </w:num>
  <w:num w:numId="46">
    <w:abstractNumId w:val="8"/>
  </w:num>
  <w:num w:numId="47">
    <w:abstractNumId w:val="25"/>
  </w:num>
  <w:num w:numId="48">
    <w:abstractNumId w:val="50"/>
  </w:num>
  <w:num w:numId="49">
    <w:abstractNumId w:val="15"/>
  </w:num>
  <w:num w:numId="50">
    <w:abstractNumId w:val="18"/>
  </w:num>
  <w:num w:numId="51">
    <w:abstractNumId w:val="12"/>
  </w:num>
  <w:num w:numId="52">
    <w:abstractNumId w:val="17"/>
  </w:num>
  <w:num w:numId="53">
    <w:abstractNumId w:val="51"/>
  </w:num>
  <w:num w:numId="54">
    <w:abstractNumId w:val="63"/>
  </w:num>
  <w:num w:numId="55">
    <w:abstractNumId w:val="21"/>
  </w:num>
  <w:num w:numId="56">
    <w:abstractNumId w:val="41"/>
  </w:num>
  <w:num w:numId="57">
    <w:abstractNumId w:val="23"/>
  </w:num>
  <w:num w:numId="58">
    <w:abstractNumId w:val="36"/>
  </w:num>
  <w:num w:numId="59">
    <w:abstractNumId w:val="62"/>
  </w:num>
  <w:num w:numId="60">
    <w:abstractNumId w:val="48"/>
  </w:num>
  <w:num w:numId="61">
    <w:abstractNumId w:val="43"/>
  </w:num>
  <w:num w:numId="62">
    <w:abstractNumId w:val="14"/>
  </w:num>
  <w:num w:numId="63">
    <w:abstractNumId w:val="38"/>
  </w:num>
  <w:num w:numId="64">
    <w:abstractNumId w:val="60"/>
  </w:num>
  <w:num w:numId="65">
    <w:abstractNumId w:val="65"/>
  </w:num>
  <w:num w:numId="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ocumentProtection w:enforcement="0"/>
  <w:defaultTabStop w:val="708"/>
  <w:autoHyphenation/>
  <w:consecutiveHyphenLimit w:val="4"/>
  <w:hyphenationZone w:val="170"/>
  <w:doNotHyphenateCaps/>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7BB"/>
    <w:rsid w:val="000009BA"/>
    <w:rsid w:val="00000B2D"/>
    <w:rsid w:val="00001EC6"/>
    <w:rsid w:val="000027BA"/>
    <w:rsid w:val="00003A48"/>
    <w:rsid w:val="00003C1D"/>
    <w:rsid w:val="0000482B"/>
    <w:rsid w:val="00004890"/>
    <w:rsid w:val="00005DDA"/>
    <w:rsid w:val="000060D8"/>
    <w:rsid w:val="00006EC9"/>
    <w:rsid w:val="0000750C"/>
    <w:rsid w:val="00007E56"/>
    <w:rsid w:val="00010044"/>
    <w:rsid w:val="00011E52"/>
    <w:rsid w:val="0001202A"/>
    <w:rsid w:val="000134F2"/>
    <w:rsid w:val="00013BAC"/>
    <w:rsid w:val="00014D7D"/>
    <w:rsid w:val="000151F4"/>
    <w:rsid w:val="00015254"/>
    <w:rsid w:val="00015B89"/>
    <w:rsid w:val="00015DF1"/>
    <w:rsid w:val="00015F78"/>
    <w:rsid w:val="00016259"/>
    <w:rsid w:val="00016271"/>
    <w:rsid w:val="000165E5"/>
    <w:rsid w:val="00017703"/>
    <w:rsid w:val="000178A3"/>
    <w:rsid w:val="00017948"/>
    <w:rsid w:val="00017D5A"/>
    <w:rsid w:val="00017E9F"/>
    <w:rsid w:val="00020E7F"/>
    <w:rsid w:val="00020FA5"/>
    <w:rsid w:val="00022643"/>
    <w:rsid w:val="00022E30"/>
    <w:rsid w:val="00022E5A"/>
    <w:rsid w:val="000237BA"/>
    <w:rsid w:val="000238F9"/>
    <w:rsid w:val="00023B56"/>
    <w:rsid w:val="00024B4F"/>
    <w:rsid w:val="00024CCC"/>
    <w:rsid w:val="00025697"/>
    <w:rsid w:val="0002575A"/>
    <w:rsid w:val="0002609A"/>
    <w:rsid w:val="00026676"/>
    <w:rsid w:val="00026EC3"/>
    <w:rsid w:val="000271FF"/>
    <w:rsid w:val="00027D5D"/>
    <w:rsid w:val="00027EF7"/>
    <w:rsid w:val="00027F9A"/>
    <w:rsid w:val="000302AB"/>
    <w:rsid w:val="00030530"/>
    <w:rsid w:val="00030846"/>
    <w:rsid w:val="000316FB"/>
    <w:rsid w:val="00032115"/>
    <w:rsid w:val="00033C52"/>
    <w:rsid w:val="000340CE"/>
    <w:rsid w:val="00034331"/>
    <w:rsid w:val="00034448"/>
    <w:rsid w:val="00034754"/>
    <w:rsid w:val="00034A80"/>
    <w:rsid w:val="00035906"/>
    <w:rsid w:val="00036491"/>
    <w:rsid w:val="00036BD7"/>
    <w:rsid w:val="00037248"/>
    <w:rsid w:val="00037342"/>
    <w:rsid w:val="00037BA4"/>
    <w:rsid w:val="000408F6"/>
    <w:rsid w:val="00040C7E"/>
    <w:rsid w:val="0004142B"/>
    <w:rsid w:val="00041D3E"/>
    <w:rsid w:val="000436C3"/>
    <w:rsid w:val="00043AB9"/>
    <w:rsid w:val="00046070"/>
    <w:rsid w:val="00046329"/>
    <w:rsid w:val="00046935"/>
    <w:rsid w:val="00046A81"/>
    <w:rsid w:val="00047B0B"/>
    <w:rsid w:val="00050A2E"/>
    <w:rsid w:val="000510C7"/>
    <w:rsid w:val="000527D9"/>
    <w:rsid w:val="00052BDF"/>
    <w:rsid w:val="00053A1A"/>
    <w:rsid w:val="000549A0"/>
    <w:rsid w:val="00055B37"/>
    <w:rsid w:val="000563F5"/>
    <w:rsid w:val="000571D4"/>
    <w:rsid w:val="00060682"/>
    <w:rsid w:val="00060DC7"/>
    <w:rsid w:val="00062168"/>
    <w:rsid w:val="00063257"/>
    <w:rsid w:val="0006362F"/>
    <w:rsid w:val="00063EFF"/>
    <w:rsid w:val="00064D99"/>
    <w:rsid w:val="00064E46"/>
    <w:rsid w:val="0006538F"/>
    <w:rsid w:val="000655B4"/>
    <w:rsid w:val="000655C0"/>
    <w:rsid w:val="00066787"/>
    <w:rsid w:val="00066A0D"/>
    <w:rsid w:val="00066A23"/>
    <w:rsid w:val="00066CD1"/>
    <w:rsid w:val="000675F8"/>
    <w:rsid w:val="0006764E"/>
    <w:rsid w:val="000678BE"/>
    <w:rsid w:val="00070B81"/>
    <w:rsid w:val="00070DBA"/>
    <w:rsid w:val="00071126"/>
    <w:rsid w:val="00071479"/>
    <w:rsid w:val="00071943"/>
    <w:rsid w:val="00071A4C"/>
    <w:rsid w:val="00071B96"/>
    <w:rsid w:val="00071EE1"/>
    <w:rsid w:val="00071F5B"/>
    <w:rsid w:val="00073327"/>
    <w:rsid w:val="00073FFD"/>
    <w:rsid w:val="00074259"/>
    <w:rsid w:val="00075AD7"/>
    <w:rsid w:val="00076225"/>
    <w:rsid w:val="000763CA"/>
    <w:rsid w:val="000772FF"/>
    <w:rsid w:val="00077375"/>
    <w:rsid w:val="00077C16"/>
    <w:rsid w:val="00077DAC"/>
    <w:rsid w:val="00077F62"/>
    <w:rsid w:val="00080046"/>
    <w:rsid w:val="0008072E"/>
    <w:rsid w:val="00080D8B"/>
    <w:rsid w:val="00080EE3"/>
    <w:rsid w:val="0008327A"/>
    <w:rsid w:val="000837E9"/>
    <w:rsid w:val="00083F1E"/>
    <w:rsid w:val="000845D2"/>
    <w:rsid w:val="00084CF1"/>
    <w:rsid w:val="0008518B"/>
    <w:rsid w:val="00085AB3"/>
    <w:rsid w:val="00086B06"/>
    <w:rsid w:val="00087388"/>
    <w:rsid w:val="00087CA6"/>
    <w:rsid w:val="000900EC"/>
    <w:rsid w:val="00090B45"/>
    <w:rsid w:val="0009161B"/>
    <w:rsid w:val="00091D37"/>
    <w:rsid w:val="00091FC0"/>
    <w:rsid w:val="00092148"/>
    <w:rsid w:val="0009281C"/>
    <w:rsid w:val="000928E6"/>
    <w:rsid w:val="000941B5"/>
    <w:rsid w:val="00094944"/>
    <w:rsid w:val="00094AFD"/>
    <w:rsid w:val="00095005"/>
    <w:rsid w:val="00095153"/>
    <w:rsid w:val="0009591A"/>
    <w:rsid w:val="00095E78"/>
    <w:rsid w:val="00096A80"/>
    <w:rsid w:val="00097D87"/>
    <w:rsid w:val="000A0342"/>
    <w:rsid w:val="000A0D9A"/>
    <w:rsid w:val="000A115E"/>
    <w:rsid w:val="000A137A"/>
    <w:rsid w:val="000A187B"/>
    <w:rsid w:val="000A225F"/>
    <w:rsid w:val="000A2353"/>
    <w:rsid w:val="000A25C3"/>
    <w:rsid w:val="000A28F9"/>
    <w:rsid w:val="000A400B"/>
    <w:rsid w:val="000A4D5E"/>
    <w:rsid w:val="000A4E82"/>
    <w:rsid w:val="000A4FC0"/>
    <w:rsid w:val="000A50C9"/>
    <w:rsid w:val="000A54A0"/>
    <w:rsid w:val="000A5B57"/>
    <w:rsid w:val="000A64A5"/>
    <w:rsid w:val="000A66E7"/>
    <w:rsid w:val="000A76EB"/>
    <w:rsid w:val="000B024D"/>
    <w:rsid w:val="000B03FB"/>
    <w:rsid w:val="000B0709"/>
    <w:rsid w:val="000B238F"/>
    <w:rsid w:val="000B249D"/>
    <w:rsid w:val="000B2622"/>
    <w:rsid w:val="000B270F"/>
    <w:rsid w:val="000B2A87"/>
    <w:rsid w:val="000B2AD9"/>
    <w:rsid w:val="000B2AF4"/>
    <w:rsid w:val="000B2C31"/>
    <w:rsid w:val="000B3137"/>
    <w:rsid w:val="000B330B"/>
    <w:rsid w:val="000B333D"/>
    <w:rsid w:val="000B3457"/>
    <w:rsid w:val="000B3694"/>
    <w:rsid w:val="000B456B"/>
    <w:rsid w:val="000B51E6"/>
    <w:rsid w:val="000B5BAD"/>
    <w:rsid w:val="000B64DF"/>
    <w:rsid w:val="000B6648"/>
    <w:rsid w:val="000B6882"/>
    <w:rsid w:val="000B68E5"/>
    <w:rsid w:val="000B68EF"/>
    <w:rsid w:val="000B74E1"/>
    <w:rsid w:val="000C0469"/>
    <w:rsid w:val="000C1591"/>
    <w:rsid w:val="000C19DA"/>
    <w:rsid w:val="000C2684"/>
    <w:rsid w:val="000C2705"/>
    <w:rsid w:val="000C281B"/>
    <w:rsid w:val="000C3098"/>
    <w:rsid w:val="000C33A3"/>
    <w:rsid w:val="000C5291"/>
    <w:rsid w:val="000C546C"/>
    <w:rsid w:val="000C55AB"/>
    <w:rsid w:val="000C5610"/>
    <w:rsid w:val="000C5678"/>
    <w:rsid w:val="000C7245"/>
    <w:rsid w:val="000C7B6A"/>
    <w:rsid w:val="000D07BB"/>
    <w:rsid w:val="000D1817"/>
    <w:rsid w:val="000D28F5"/>
    <w:rsid w:val="000D2C31"/>
    <w:rsid w:val="000D2EA4"/>
    <w:rsid w:val="000D3076"/>
    <w:rsid w:val="000D4555"/>
    <w:rsid w:val="000D47F4"/>
    <w:rsid w:val="000D56A3"/>
    <w:rsid w:val="000D5A41"/>
    <w:rsid w:val="000D627D"/>
    <w:rsid w:val="000D62CC"/>
    <w:rsid w:val="000D69CD"/>
    <w:rsid w:val="000D7631"/>
    <w:rsid w:val="000D7A1A"/>
    <w:rsid w:val="000E1008"/>
    <w:rsid w:val="000E1D16"/>
    <w:rsid w:val="000E2F67"/>
    <w:rsid w:val="000E310F"/>
    <w:rsid w:val="000E3C30"/>
    <w:rsid w:val="000E4258"/>
    <w:rsid w:val="000E4468"/>
    <w:rsid w:val="000E4827"/>
    <w:rsid w:val="000E4E5F"/>
    <w:rsid w:val="000E503A"/>
    <w:rsid w:val="000E56B6"/>
    <w:rsid w:val="000E5A84"/>
    <w:rsid w:val="000E63FD"/>
    <w:rsid w:val="000E7060"/>
    <w:rsid w:val="000E709F"/>
    <w:rsid w:val="000E79A2"/>
    <w:rsid w:val="000E7CCA"/>
    <w:rsid w:val="000E7F10"/>
    <w:rsid w:val="000F0CDC"/>
    <w:rsid w:val="000F0F8A"/>
    <w:rsid w:val="000F1078"/>
    <w:rsid w:val="000F10D0"/>
    <w:rsid w:val="000F1C0E"/>
    <w:rsid w:val="000F20A5"/>
    <w:rsid w:val="000F378B"/>
    <w:rsid w:val="000F388C"/>
    <w:rsid w:val="000F4111"/>
    <w:rsid w:val="000F42E8"/>
    <w:rsid w:val="000F4586"/>
    <w:rsid w:val="000F4631"/>
    <w:rsid w:val="000F4C75"/>
    <w:rsid w:val="000F5325"/>
    <w:rsid w:val="000F54B2"/>
    <w:rsid w:val="000F59EC"/>
    <w:rsid w:val="000F7541"/>
    <w:rsid w:val="001004C3"/>
    <w:rsid w:val="001007A4"/>
    <w:rsid w:val="00100CD3"/>
    <w:rsid w:val="00101111"/>
    <w:rsid w:val="00101A54"/>
    <w:rsid w:val="00101E9F"/>
    <w:rsid w:val="001042F9"/>
    <w:rsid w:val="001046CE"/>
    <w:rsid w:val="001049B7"/>
    <w:rsid w:val="00104B97"/>
    <w:rsid w:val="0010526A"/>
    <w:rsid w:val="00105585"/>
    <w:rsid w:val="00105ECE"/>
    <w:rsid w:val="001076B7"/>
    <w:rsid w:val="00107A9F"/>
    <w:rsid w:val="00110654"/>
    <w:rsid w:val="00110D50"/>
    <w:rsid w:val="0011105A"/>
    <w:rsid w:val="001116C5"/>
    <w:rsid w:val="00111D00"/>
    <w:rsid w:val="00111FF7"/>
    <w:rsid w:val="001120C1"/>
    <w:rsid w:val="00113195"/>
    <w:rsid w:val="00113A59"/>
    <w:rsid w:val="00113C30"/>
    <w:rsid w:val="00114042"/>
    <w:rsid w:val="0011421B"/>
    <w:rsid w:val="001157D6"/>
    <w:rsid w:val="00115B02"/>
    <w:rsid w:val="00116363"/>
    <w:rsid w:val="001166B9"/>
    <w:rsid w:val="001166D1"/>
    <w:rsid w:val="001169CF"/>
    <w:rsid w:val="00116F09"/>
    <w:rsid w:val="00117446"/>
    <w:rsid w:val="00117B11"/>
    <w:rsid w:val="00121243"/>
    <w:rsid w:val="00121613"/>
    <w:rsid w:val="00121AAD"/>
    <w:rsid w:val="0012220B"/>
    <w:rsid w:val="001223DD"/>
    <w:rsid w:val="001224E8"/>
    <w:rsid w:val="00122A78"/>
    <w:rsid w:val="00122BD2"/>
    <w:rsid w:val="00123DC1"/>
    <w:rsid w:val="00123EA3"/>
    <w:rsid w:val="00123EB0"/>
    <w:rsid w:val="00124005"/>
    <w:rsid w:val="00125775"/>
    <w:rsid w:val="001259A6"/>
    <w:rsid w:val="00125AEE"/>
    <w:rsid w:val="00125D4A"/>
    <w:rsid w:val="00126767"/>
    <w:rsid w:val="00126F92"/>
    <w:rsid w:val="0012794E"/>
    <w:rsid w:val="00127B07"/>
    <w:rsid w:val="00127E2B"/>
    <w:rsid w:val="00127F26"/>
    <w:rsid w:val="001304D7"/>
    <w:rsid w:val="001305E4"/>
    <w:rsid w:val="00130D7C"/>
    <w:rsid w:val="00130DDF"/>
    <w:rsid w:val="00130F10"/>
    <w:rsid w:val="00130F91"/>
    <w:rsid w:val="00131A3C"/>
    <w:rsid w:val="001320D2"/>
    <w:rsid w:val="00134957"/>
    <w:rsid w:val="00134D88"/>
    <w:rsid w:val="001350D8"/>
    <w:rsid w:val="0013703B"/>
    <w:rsid w:val="0013769F"/>
    <w:rsid w:val="0014010B"/>
    <w:rsid w:val="001404EF"/>
    <w:rsid w:val="0014084C"/>
    <w:rsid w:val="00140E5F"/>
    <w:rsid w:val="001411E2"/>
    <w:rsid w:val="00141B18"/>
    <w:rsid w:val="00141DF7"/>
    <w:rsid w:val="00142054"/>
    <w:rsid w:val="00142145"/>
    <w:rsid w:val="00142CBA"/>
    <w:rsid w:val="001434CD"/>
    <w:rsid w:val="001439BA"/>
    <w:rsid w:val="001448FD"/>
    <w:rsid w:val="00144BB9"/>
    <w:rsid w:val="00144FCE"/>
    <w:rsid w:val="00145C97"/>
    <w:rsid w:val="00146C7C"/>
    <w:rsid w:val="0014702F"/>
    <w:rsid w:val="00147B2C"/>
    <w:rsid w:val="001504B0"/>
    <w:rsid w:val="00150985"/>
    <w:rsid w:val="00150D28"/>
    <w:rsid w:val="001513AF"/>
    <w:rsid w:val="001515E2"/>
    <w:rsid w:val="001517FE"/>
    <w:rsid w:val="00151B21"/>
    <w:rsid w:val="00151F04"/>
    <w:rsid w:val="001530D1"/>
    <w:rsid w:val="00153868"/>
    <w:rsid w:val="00153FC9"/>
    <w:rsid w:val="00154207"/>
    <w:rsid w:val="001542C4"/>
    <w:rsid w:val="00154B0D"/>
    <w:rsid w:val="001557A3"/>
    <w:rsid w:val="00155BD5"/>
    <w:rsid w:val="0015633F"/>
    <w:rsid w:val="0015689B"/>
    <w:rsid w:val="00156D0A"/>
    <w:rsid w:val="00156FA9"/>
    <w:rsid w:val="00156FF7"/>
    <w:rsid w:val="001571CC"/>
    <w:rsid w:val="00157307"/>
    <w:rsid w:val="00157CE8"/>
    <w:rsid w:val="001602FE"/>
    <w:rsid w:val="001612D2"/>
    <w:rsid w:val="00161961"/>
    <w:rsid w:val="00162001"/>
    <w:rsid w:val="001626E5"/>
    <w:rsid w:val="00163745"/>
    <w:rsid w:val="00164136"/>
    <w:rsid w:val="00164F79"/>
    <w:rsid w:val="00165FCF"/>
    <w:rsid w:val="0016619F"/>
    <w:rsid w:val="00166458"/>
    <w:rsid w:val="001669F3"/>
    <w:rsid w:val="00166A57"/>
    <w:rsid w:val="00166F49"/>
    <w:rsid w:val="00167076"/>
    <w:rsid w:val="00167730"/>
    <w:rsid w:val="00170397"/>
    <w:rsid w:val="0017041C"/>
    <w:rsid w:val="00170A6E"/>
    <w:rsid w:val="00170BD4"/>
    <w:rsid w:val="001719AC"/>
    <w:rsid w:val="00171BEE"/>
    <w:rsid w:val="00172233"/>
    <w:rsid w:val="00172C5A"/>
    <w:rsid w:val="00172D47"/>
    <w:rsid w:val="001734D0"/>
    <w:rsid w:val="00174745"/>
    <w:rsid w:val="00174936"/>
    <w:rsid w:val="00174953"/>
    <w:rsid w:val="00174E1F"/>
    <w:rsid w:val="00174F58"/>
    <w:rsid w:val="00175130"/>
    <w:rsid w:val="00175D98"/>
    <w:rsid w:val="00176423"/>
    <w:rsid w:val="0017754C"/>
    <w:rsid w:val="00177F1B"/>
    <w:rsid w:val="00181CC4"/>
    <w:rsid w:val="00183320"/>
    <w:rsid w:val="0018441D"/>
    <w:rsid w:val="0018481D"/>
    <w:rsid w:val="001848B7"/>
    <w:rsid w:val="00184E5B"/>
    <w:rsid w:val="001858F5"/>
    <w:rsid w:val="00185D5B"/>
    <w:rsid w:val="00186745"/>
    <w:rsid w:val="0018679E"/>
    <w:rsid w:val="001868D9"/>
    <w:rsid w:val="00186A33"/>
    <w:rsid w:val="00186AA3"/>
    <w:rsid w:val="00187584"/>
    <w:rsid w:val="00187938"/>
    <w:rsid w:val="00187E06"/>
    <w:rsid w:val="00190613"/>
    <w:rsid w:val="00191BB2"/>
    <w:rsid w:val="00191C8C"/>
    <w:rsid w:val="00192C6C"/>
    <w:rsid w:val="00193066"/>
    <w:rsid w:val="00193286"/>
    <w:rsid w:val="00193489"/>
    <w:rsid w:val="00193A8C"/>
    <w:rsid w:val="00193EB2"/>
    <w:rsid w:val="0019417B"/>
    <w:rsid w:val="00194AC8"/>
    <w:rsid w:val="00194ED0"/>
    <w:rsid w:val="00195683"/>
    <w:rsid w:val="00195732"/>
    <w:rsid w:val="001960E0"/>
    <w:rsid w:val="001974BD"/>
    <w:rsid w:val="001A0EF8"/>
    <w:rsid w:val="001A101E"/>
    <w:rsid w:val="001A1B6B"/>
    <w:rsid w:val="001A1FB4"/>
    <w:rsid w:val="001A2C44"/>
    <w:rsid w:val="001A397A"/>
    <w:rsid w:val="001A3A0F"/>
    <w:rsid w:val="001A47FB"/>
    <w:rsid w:val="001A53CC"/>
    <w:rsid w:val="001A55DB"/>
    <w:rsid w:val="001A585D"/>
    <w:rsid w:val="001A5D37"/>
    <w:rsid w:val="001A6812"/>
    <w:rsid w:val="001A6C16"/>
    <w:rsid w:val="001A731C"/>
    <w:rsid w:val="001A76BF"/>
    <w:rsid w:val="001B0285"/>
    <w:rsid w:val="001B1DA4"/>
    <w:rsid w:val="001B1EDC"/>
    <w:rsid w:val="001B2A0D"/>
    <w:rsid w:val="001B4478"/>
    <w:rsid w:val="001B48CE"/>
    <w:rsid w:val="001B4FE6"/>
    <w:rsid w:val="001B59AC"/>
    <w:rsid w:val="001B5B1E"/>
    <w:rsid w:val="001B6205"/>
    <w:rsid w:val="001B624B"/>
    <w:rsid w:val="001B626A"/>
    <w:rsid w:val="001B6683"/>
    <w:rsid w:val="001B66DA"/>
    <w:rsid w:val="001B6AD0"/>
    <w:rsid w:val="001B726F"/>
    <w:rsid w:val="001B74CB"/>
    <w:rsid w:val="001B759B"/>
    <w:rsid w:val="001B765E"/>
    <w:rsid w:val="001B7F76"/>
    <w:rsid w:val="001C0283"/>
    <w:rsid w:val="001C0C28"/>
    <w:rsid w:val="001C10EE"/>
    <w:rsid w:val="001C163B"/>
    <w:rsid w:val="001C2591"/>
    <w:rsid w:val="001C25F1"/>
    <w:rsid w:val="001C2ADE"/>
    <w:rsid w:val="001C2E2A"/>
    <w:rsid w:val="001C3698"/>
    <w:rsid w:val="001C38EE"/>
    <w:rsid w:val="001C3F5B"/>
    <w:rsid w:val="001C46AA"/>
    <w:rsid w:val="001C4C0E"/>
    <w:rsid w:val="001C5397"/>
    <w:rsid w:val="001C676F"/>
    <w:rsid w:val="001C74A7"/>
    <w:rsid w:val="001C7D22"/>
    <w:rsid w:val="001D058A"/>
    <w:rsid w:val="001D0772"/>
    <w:rsid w:val="001D0BF2"/>
    <w:rsid w:val="001D19DB"/>
    <w:rsid w:val="001D249B"/>
    <w:rsid w:val="001D3572"/>
    <w:rsid w:val="001D43DB"/>
    <w:rsid w:val="001D4614"/>
    <w:rsid w:val="001D5E36"/>
    <w:rsid w:val="001D604D"/>
    <w:rsid w:val="001D637F"/>
    <w:rsid w:val="001D6545"/>
    <w:rsid w:val="001D6DD5"/>
    <w:rsid w:val="001D7209"/>
    <w:rsid w:val="001D7928"/>
    <w:rsid w:val="001D7B1F"/>
    <w:rsid w:val="001D7C6F"/>
    <w:rsid w:val="001E0193"/>
    <w:rsid w:val="001E0355"/>
    <w:rsid w:val="001E07D4"/>
    <w:rsid w:val="001E0872"/>
    <w:rsid w:val="001E0B51"/>
    <w:rsid w:val="001E0E17"/>
    <w:rsid w:val="001E0E27"/>
    <w:rsid w:val="001E2524"/>
    <w:rsid w:val="001E26AA"/>
    <w:rsid w:val="001E302C"/>
    <w:rsid w:val="001E38BF"/>
    <w:rsid w:val="001E492B"/>
    <w:rsid w:val="001E5823"/>
    <w:rsid w:val="001E6212"/>
    <w:rsid w:val="001E6274"/>
    <w:rsid w:val="001E7A8D"/>
    <w:rsid w:val="001E7AD9"/>
    <w:rsid w:val="001E7BC2"/>
    <w:rsid w:val="001E7C91"/>
    <w:rsid w:val="001F1BFB"/>
    <w:rsid w:val="001F1DF1"/>
    <w:rsid w:val="001F21E8"/>
    <w:rsid w:val="001F2B00"/>
    <w:rsid w:val="001F2D1C"/>
    <w:rsid w:val="001F35B1"/>
    <w:rsid w:val="001F61F8"/>
    <w:rsid w:val="001F62FF"/>
    <w:rsid w:val="001F6E67"/>
    <w:rsid w:val="001F7691"/>
    <w:rsid w:val="001F78BD"/>
    <w:rsid w:val="00200A94"/>
    <w:rsid w:val="00200BD3"/>
    <w:rsid w:val="00200F5C"/>
    <w:rsid w:val="00201368"/>
    <w:rsid w:val="00201676"/>
    <w:rsid w:val="00201ED6"/>
    <w:rsid w:val="00201FD2"/>
    <w:rsid w:val="002020C6"/>
    <w:rsid w:val="00202537"/>
    <w:rsid w:val="002027A1"/>
    <w:rsid w:val="002027F4"/>
    <w:rsid w:val="002028DA"/>
    <w:rsid w:val="00202D90"/>
    <w:rsid w:val="00203E99"/>
    <w:rsid w:val="00205026"/>
    <w:rsid w:val="0020551B"/>
    <w:rsid w:val="002055B8"/>
    <w:rsid w:val="0020570A"/>
    <w:rsid w:val="0020691C"/>
    <w:rsid w:val="00206A48"/>
    <w:rsid w:val="00206FB2"/>
    <w:rsid w:val="0020751C"/>
    <w:rsid w:val="00211859"/>
    <w:rsid w:val="00211B71"/>
    <w:rsid w:val="00211DA0"/>
    <w:rsid w:val="00211E26"/>
    <w:rsid w:val="00212226"/>
    <w:rsid w:val="002125F0"/>
    <w:rsid w:val="00213B87"/>
    <w:rsid w:val="00213D9D"/>
    <w:rsid w:val="0021406C"/>
    <w:rsid w:val="00214139"/>
    <w:rsid w:val="0021418C"/>
    <w:rsid w:val="00214A6B"/>
    <w:rsid w:val="00215583"/>
    <w:rsid w:val="0021571F"/>
    <w:rsid w:val="00216FC1"/>
    <w:rsid w:val="00217110"/>
    <w:rsid w:val="00217FF7"/>
    <w:rsid w:val="00220C35"/>
    <w:rsid w:val="00220D42"/>
    <w:rsid w:val="002217FE"/>
    <w:rsid w:val="00221ECA"/>
    <w:rsid w:val="00221F96"/>
    <w:rsid w:val="00222A11"/>
    <w:rsid w:val="002231DD"/>
    <w:rsid w:val="0022322E"/>
    <w:rsid w:val="0022326E"/>
    <w:rsid w:val="002240E1"/>
    <w:rsid w:val="00225154"/>
    <w:rsid w:val="00225BC2"/>
    <w:rsid w:val="0022627D"/>
    <w:rsid w:val="002262EA"/>
    <w:rsid w:val="0022643E"/>
    <w:rsid w:val="0022662F"/>
    <w:rsid w:val="002267BE"/>
    <w:rsid w:val="00226B87"/>
    <w:rsid w:val="00227275"/>
    <w:rsid w:val="00227363"/>
    <w:rsid w:val="00227A74"/>
    <w:rsid w:val="002300CD"/>
    <w:rsid w:val="0023022B"/>
    <w:rsid w:val="0023084A"/>
    <w:rsid w:val="002322E3"/>
    <w:rsid w:val="0023233C"/>
    <w:rsid w:val="00232802"/>
    <w:rsid w:val="00233B94"/>
    <w:rsid w:val="00234E94"/>
    <w:rsid w:val="0023581B"/>
    <w:rsid w:val="00235D72"/>
    <w:rsid w:val="002366DF"/>
    <w:rsid w:val="00236D97"/>
    <w:rsid w:val="00237CB3"/>
    <w:rsid w:val="002400FE"/>
    <w:rsid w:val="00240436"/>
    <w:rsid w:val="00240829"/>
    <w:rsid w:val="00240B5C"/>
    <w:rsid w:val="002414B2"/>
    <w:rsid w:val="00241A72"/>
    <w:rsid w:val="0024242F"/>
    <w:rsid w:val="002425A6"/>
    <w:rsid w:val="00242FAE"/>
    <w:rsid w:val="002434E6"/>
    <w:rsid w:val="00243966"/>
    <w:rsid w:val="00243D4E"/>
    <w:rsid w:val="002440E9"/>
    <w:rsid w:val="0024426C"/>
    <w:rsid w:val="00245D02"/>
    <w:rsid w:val="0024665F"/>
    <w:rsid w:val="0024733A"/>
    <w:rsid w:val="00247FD8"/>
    <w:rsid w:val="00250564"/>
    <w:rsid w:val="00251725"/>
    <w:rsid w:val="00251842"/>
    <w:rsid w:val="00252493"/>
    <w:rsid w:val="002524C6"/>
    <w:rsid w:val="00252621"/>
    <w:rsid w:val="00252EF0"/>
    <w:rsid w:val="002530C1"/>
    <w:rsid w:val="002531CA"/>
    <w:rsid w:val="002534D4"/>
    <w:rsid w:val="00253D22"/>
    <w:rsid w:val="00253EC0"/>
    <w:rsid w:val="00254488"/>
    <w:rsid w:val="00254540"/>
    <w:rsid w:val="00254D64"/>
    <w:rsid w:val="00255525"/>
    <w:rsid w:val="00255702"/>
    <w:rsid w:val="002558A0"/>
    <w:rsid w:val="00255982"/>
    <w:rsid w:val="00256113"/>
    <w:rsid w:val="002565EC"/>
    <w:rsid w:val="002569F2"/>
    <w:rsid w:val="00256CF1"/>
    <w:rsid w:val="002576D4"/>
    <w:rsid w:val="00257B8D"/>
    <w:rsid w:val="002616CF"/>
    <w:rsid w:val="00261AA8"/>
    <w:rsid w:val="00261BA7"/>
    <w:rsid w:val="00261EA2"/>
    <w:rsid w:val="00262A6F"/>
    <w:rsid w:val="00262EE6"/>
    <w:rsid w:val="00263587"/>
    <w:rsid w:val="002635F5"/>
    <w:rsid w:val="0026380A"/>
    <w:rsid w:val="00263AED"/>
    <w:rsid w:val="00264DEC"/>
    <w:rsid w:val="00264E52"/>
    <w:rsid w:val="00264F29"/>
    <w:rsid w:val="00265344"/>
    <w:rsid w:val="00265465"/>
    <w:rsid w:val="002661CC"/>
    <w:rsid w:val="0026624C"/>
    <w:rsid w:val="00266777"/>
    <w:rsid w:val="002670FC"/>
    <w:rsid w:val="00267422"/>
    <w:rsid w:val="00267F38"/>
    <w:rsid w:val="0027001F"/>
    <w:rsid w:val="0027177B"/>
    <w:rsid w:val="00271FAD"/>
    <w:rsid w:val="0027208D"/>
    <w:rsid w:val="002728CF"/>
    <w:rsid w:val="00272A27"/>
    <w:rsid w:val="00272A49"/>
    <w:rsid w:val="00273370"/>
    <w:rsid w:val="00273551"/>
    <w:rsid w:val="00273BE6"/>
    <w:rsid w:val="00273D62"/>
    <w:rsid w:val="00274598"/>
    <w:rsid w:val="0027496F"/>
    <w:rsid w:val="00274A40"/>
    <w:rsid w:val="00274CD8"/>
    <w:rsid w:val="00274D8F"/>
    <w:rsid w:val="00274DC7"/>
    <w:rsid w:val="002751D7"/>
    <w:rsid w:val="00275235"/>
    <w:rsid w:val="002752C8"/>
    <w:rsid w:val="0027610C"/>
    <w:rsid w:val="002767EA"/>
    <w:rsid w:val="00276E98"/>
    <w:rsid w:val="002772D0"/>
    <w:rsid w:val="00280695"/>
    <w:rsid w:val="00281993"/>
    <w:rsid w:val="00282061"/>
    <w:rsid w:val="00283624"/>
    <w:rsid w:val="0028392F"/>
    <w:rsid w:val="00283B36"/>
    <w:rsid w:val="00285255"/>
    <w:rsid w:val="00285698"/>
    <w:rsid w:val="0028589A"/>
    <w:rsid w:val="00285BBB"/>
    <w:rsid w:val="0028635B"/>
    <w:rsid w:val="002867BD"/>
    <w:rsid w:val="00286B1C"/>
    <w:rsid w:val="00286EA5"/>
    <w:rsid w:val="0028729B"/>
    <w:rsid w:val="002876EF"/>
    <w:rsid w:val="00287BCC"/>
    <w:rsid w:val="00290368"/>
    <w:rsid w:val="00290434"/>
    <w:rsid w:val="00291927"/>
    <w:rsid w:val="00291995"/>
    <w:rsid w:val="00291C7C"/>
    <w:rsid w:val="002929C5"/>
    <w:rsid w:val="00292E7C"/>
    <w:rsid w:val="00293174"/>
    <w:rsid w:val="00294B94"/>
    <w:rsid w:val="00295722"/>
    <w:rsid w:val="00295FF6"/>
    <w:rsid w:val="00296430"/>
    <w:rsid w:val="00296B6A"/>
    <w:rsid w:val="0029719D"/>
    <w:rsid w:val="0029780A"/>
    <w:rsid w:val="00297EAF"/>
    <w:rsid w:val="002A0BF0"/>
    <w:rsid w:val="002A0E0C"/>
    <w:rsid w:val="002A15C9"/>
    <w:rsid w:val="002A1756"/>
    <w:rsid w:val="002A1B07"/>
    <w:rsid w:val="002A1B93"/>
    <w:rsid w:val="002A262E"/>
    <w:rsid w:val="002A29DA"/>
    <w:rsid w:val="002A2B2B"/>
    <w:rsid w:val="002A304D"/>
    <w:rsid w:val="002A37D0"/>
    <w:rsid w:val="002A3A90"/>
    <w:rsid w:val="002A41F9"/>
    <w:rsid w:val="002A4AAF"/>
    <w:rsid w:val="002A5424"/>
    <w:rsid w:val="002A5917"/>
    <w:rsid w:val="002A60DA"/>
    <w:rsid w:val="002A60E0"/>
    <w:rsid w:val="002A6C6E"/>
    <w:rsid w:val="002A6DB0"/>
    <w:rsid w:val="002A76F7"/>
    <w:rsid w:val="002A7AD6"/>
    <w:rsid w:val="002B0143"/>
    <w:rsid w:val="002B19A8"/>
    <w:rsid w:val="002B2430"/>
    <w:rsid w:val="002B25EA"/>
    <w:rsid w:val="002B3127"/>
    <w:rsid w:val="002B3CA1"/>
    <w:rsid w:val="002B45E7"/>
    <w:rsid w:val="002B471C"/>
    <w:rsid w:val="002B4892"/>
    <w:rsid w:val="002B49E1"/>
    <w:rsid w:val="002B5EFB"/>
    <w:rsid w:val="002B678D"/>
    <w:rsid w:val="002B6C9E"/>
    <w:rsid w:val="002B7013"/>
    <w:rsid w:val="002B7195"/>
    <w:rsid w:val="002B7E3E"/>
    <w:rsid w:val="002C0FE4"/>
    <w:rsid w:val="002C114C"/>
    <w:rsid w:val="002C12E7"/>
    <w:rsid w:val="002C1B96"/>
    <w:rsid w:val="002C3499"/>
    <w:rsid w:val="002C350E"/>
    <w:rsid w:val="002C3830"/>
    <w:rsid w:val="002C39BA"/>
    <w:rsid w:val="002C410E"/>
    <w:rsid w:val="002C4D4B"/>
    <w:rsid w:val="002C57E7"/>
    <w:rsid w:val="002C5B4A"/>
    <w:rsid w:val="002C6EFE"/>
    <w:rsid w:val="002C70F0"/>
    <w:rsid w:val="002C77DB"/>
    <w:rsid w:val="002C7E9F"/>
    <w:rsid w:val="002D1034"/>
    <w:rsid w:val="002D1085"/>
    <w:rsid w:val="002D1B97"/>
    <w:rsid w:val="002D1D36"/>
    <w:rsid w:val="002D2C99"/>
    <w:rsid w:val="002D3355"/>
    <w:rsid w:val="002D33AF"/>
    <w:rsid w:val="002D33CF"/>
    <w:rsid w:val="002D349A"/>
    <w:rsid w:val="002D399E"/>
    <w:rsid w:val="002D41D4"/>
    <w:rsid w:val="002D43BE"/>
    <w:rsid w:val="002D4844"/>
    <w:rsid w:val="002D4874"/>
    <w:rsid w:val="002D4FA1"/>
    <w:rsid w:val="002D53E7"/>
    <w:rsid w:val="002D6304"/>
    <w:rsid w:val="002D672D"/>
    <w:rsid w:val="002D67EA"/>
    <w:rsid w:val="002D7C04"/>
    <w:rsid w:val="002D7EC7"/>
    <w:rsid w:val="002E01E4"/>
    <w:rsid w:val="002E01E9"/>
    <w:rsid w:val="002E028C"/>
    <w:rsid w:val="002E0A17"/>
    <w:rsid w:val="002E1288"/>
    <w:rsid w:val="002E163C"/>
    <w:rsid w:val="002E443A"/>
    <w:rsid w:val="002E4C47"/>
    <w:rsid w:val="002E4D54"/>
    <w:rsid w:val="002E4E87"/>
    <w:rsid w:val="002E4F74"/>
    <w:rsid w:val="002E5A18"/>
    <w:rsid w:val="002E6DBE"/>
    <w:rsid w:val="002E6E0F"/>
    <w:rsid w:val="002E730C"/>
    <w:rsid w:val="002E7612"/>
    <w:rsid w:val="002F02DE"/>
    <w:rsid w:val="002F06B9"/>
    <w:rsid w:val="002F0C60"/>
    <w:rsid w:val="002F0D1C"/>
    <w:rsid w:val="002F1106"/>
    <w:rsid w:val="002F198F"/>
    <w:rsid w:val="002F21AA"/>
    <w:rsid w:val="002F23B3"/>
    <w:rsid w:val="002F2BD9"/>
    <w:rsid w:val="002F3514"/>
    <w:rsid w:val="002F37A7"/>
    <w:rsid w:val="002F3B9C"/>
    <w:rsid w:val="002F5DC8"/>
    <w:rsid w:val="002F6E48"/>
    <w:rsid w:val="002F7036"/>
    <w:rsid w:val="0030227B"/>
    <w:rsid w:val="00302B05"/>
    <w:rsid w:val="00302FD4"/>
    <w:rsid w:val="00303D63"/>
    <w:rsid w:val="003048DB"/>
    <w:rsid w:val="00305144"/>
    <w:rsid w:val="00305A3D"/>
    <w:rsid w:val="00305A42"/>
    <w:rsid w:val="00306A90"/>
    <w:rsid w:val="00307047"/>
    <w:rsid w:val="00307300"/>
    <w:rsid w:val="00307424"/>
    <w:rsid w:val="003076ED"/>
    <w:rsid w:val="00307A60"/>
    <w:rsid w:val="00307AEF"/>
    <w:rsid w:val="00310273"/>
    <w:rsid w:val="003104DA"/>
    <w:rsid w:val="003107BF"/>
    <w:rsid w:val="00310B80"/>
    <w:rsid w:val="00310D33"/>
    <w:rsid w:val="00311DD6"/>
    <w:rsid w:val="00312295"/>
    <w:rsid w:val="0031244E"/>
    <w:rsid w:val="00312870"/>
    <w:rsid w:val="00312B96"/>
    <w:rsid w:val="00312ED7"/>
    <w:rsid w:val="00312F22"/>
    <w:rsid w:val="003135F1"/>
    <w:rsid w:val="00313ABE"/>
    <w:rsid w:val="00314EB7"/>
    <w:rsid w:val="0031508F"/>
    <w:rsid w:val="00315EA0"/>
    <w:rsid w:val="00315FF7"/>
    <w:rsid w:val="00316E5D"/>
    <w:rsid w:val="00317156"/>
    <w:rsid w:val="00317746"/>
    <w:rsid w:val="00321377"/>
    <w:rsid w:val="00321D20"/>
    <w:rsid w:val="00321E32"/>
    <w:rsid w:val="00321F42"/>
    <w:rsid w:val="003220A3"/>
    <w:rsid w:val="003223E1"/>
    <w:rsid w:val="003225BE"/>
    <w:rsid w:val="0032339D"/>
    <w:rsid w:val="00324EB3"/>
    <w:rsid w:val="00324FAB"/>
    <w:rsid w:val="00325F99"/>
    <w:rsid w:val="00331665"/>
    <w:rsid w:val="00331A12"/>
    <w:rsid w:val="0033231C"/>
    <w:rsid w:val="0033258A"/>
    <w:rsid w:val="003329DA"/>
    <w:rsid w:val="00332D5B"/>
    <w:rsid w:val="00333579"/>
    <w:rsid w:val="00333CE2"/>
    <w:rsid w:val="00333E31"/>
    <w:rsid w:val="0033443C"/>
    <w:rsid w:val="003349F7"/>
    <w:rsid w:val="00334A48"/>
    <w:rsid w:val="00334F23"/>
    <w:rsid w:val="003352E8"/>
    <w:rsid w:val="00335B57"/>
    <w:rsid w:val="00336F31"/>
    <w:rsid w:val="00337E8F"/>
    <w:rsid w:val="0034003F"/>
    <w:rsid w:val="00340115"/>
    <w:rsid w:val="00340392"/>
    <w:rsid w:val="003408E7"/>
    <w:rsid w:val="00340962"/>
    <w:rsid w:val="00341563"/>
    <w:rsid w:val="00341CC7"/>
    <w:rsid w:val="003424AA"/>
    <w:rsid w:val="00342C92"/>
    <w:rsid w:val="00342F9C"/>
    <w:rsid w:val="00343955"/>
    <w:rsid w:val="003440DE"/>
    <w:rsid w:val="00344755"/>
    <w:rsid w:val="00344A6C"/>
    <w:rsid w:val="003450C6"/>
    <w:rsid w:val="00345972"/>
    <w:rsid w:val="00345B27"/>
    <w:rsid w:val="00345F34"/>
    <w:rsid w:val="003460E8"/>
    <w:rsid w:val="00346526"/>
    <w:rsid w:val="00347669"/>
    <w:rsid w:val="003479B2"/>
    <w:rsid w:val="00350318"/>
    <w:rsid w:val="00350907"/>
    <w:rsid w:val="00350D96"/>
    <w:rsid w:val="00350E40"/>
    <w:rsid w:val="00350ED8"/>
    <w:rsid w:val="0035133E"/>
    <w:rsid w:val="00353167"/>
    <w:rsid w:val="00353437"/>
    <w:rsid w:val="00353D01"/>
    <w:rsid w:val="00353E51"/>
    <w:rsid w:val="0035460E"/>
    <w:rsid w:val="0035487E"/>
    <w:rsid w:val="00354B70"/>
    <w:rsid w:val="0035647E"/>
    <w:rsid w:val="003565F9"/>
    <w:rsid w:val="00356F5D"/>
    <w:rsid w:val="003570C1"/>
    <w:rsid w:val="003573D1"/>
    <w:rsid w:val="003577F2"/>
    <w:rsid w:val="0036083F"/>
    <w:rsid w:val="00360C7C"/>
    <w:rsid w:val="00360DB4"/>
    <w:rsid w:val="00360FA8"/>
    <w:rsid w:val="00360FFE"/>
    <w:rsid w:val="003616AB"/>
    <w:rsid w:val="003622C3"/>
    <w:rsid w:val="003628FF"/>
    <w:rsid w:val="00363152"/>
    <w:rsid w:val="003636C1"/>
    <w:rsid w:val="00363D6C"/>
    <w:rsid w:val="00364091"/>
    <w:rsid w:val="00364B2E"/>
    <w:rsid w:val="00364FEF"/>
    <w:rsid w:val="003650D6"/>
    <w:rsid w:val="00365CF3"/>
    <w:rsid w:val="00365D71"/>
    <w:rsid w:val="0036628F"/>
    <w:rsid w:val="0036684E"/>
    <w:rsid w:val="00367358"/>
    <w:rsid w:val="003711EB"/>
    <w:rsid w:val="003717E3"/>
    <w:rsid w:val="00371923"/>
    <w:rsid w:val="00372380"/>
    <w:rsid w:val="00372717"/>
    <w:rsid w:val="00372C01"/>
    <w:rsid w:val="0037345F"/>
    <w:rsid w:val="003734AF"/>
    <w:rsid w:val="0037381E"/>
    <w:rsid w:val="00373B75"/>
    <w:rsid w:val="0037459C"/>
    <w:rsid w:val="003748FF"/>
    <w:rsid w:val="0037499A"/>
    <w:rsid w:val="0037633A"/>
    <w:rsid w:val="0037678A"/>
    <w:rsid w:val="0037696E"/>
    <w:rsid w:val="00377617"/>
    <w:rsid w:val="00377B0B"/>
    <w:rsid w:val="00380658"/>
    <w:rsid w:val="00380C2B"/>
    <w:rsid w:val="003814D5"/>
    <w:rsid w:val="00382204"/>
    <w:rsid w:val="00382726"/>
    <w:rsid w:val="003829BA"/>
    <w:rsid w:val="00382E6C"/>
    <w:rsid w:val="003830E7"/>
    <w:rsid w:val="00383596"/>
    <w:rsid w:val="00383C31"/>
    <w:rsid w:val="003843B8"/>
    <w:rsid w:val="0038468D"/>
    <w:rsid w:val="0038698F"/>
    <w:rsid w:val="00386A81"/>
    <w:rsid w:val="00387942"/>
    <w:rsid w:val="00387F41"/>
    <w:rsid w:val="0039169D"/>
    <w:rsid w:val="003923FD"/>
    <w:rsid w:val="0039279E"/>
    <w:rsid w:val="00392916"/>
    <w:rsid w:val="00392BB0"/>
    <w:rsid w:val="00392DAD"/>
    <w:rsid w:val="00392E0F"/>
    <w:rsid w:val="003934FD"/>
    <w:rsid w:val="00394018"/>
    <w:rsid w:val="00395643"/>
    <w:rsid w:val="0039589F"/>
    <w:rsid w:val="00395BA3"/>
    <w:rsid w:val="003966B4"/>
    <w:rsid w:val="00397235"/>
    <w:rsid w:val="00397414"/>
    <w:rsid w:val="003977BB"/>
    <w:rsid w:val="003A0585"/>
    <w:rsid w:val="003A0CA0"/>
    <w:rsid w:val="003A0E51"/>
    <w:rsid w:val="003A0FC6"/>
    <w:rsid w:val="003A18BC"/>
    <w:rsid w:val="003A27A7"/>
    <w:rsid w:val="003A3AC5"/>
    <w:rsid w:val="003A3D2E"/>
    <w:rsid w:val="003A471F"/>
    <w:rsid w:val="003A47F4"/>
    <w:rsid w:val="003A49C6"/>
    <w:rsid w:val="003A4DDE"/>
    <w:rsid w:val="003A56AB"/>
    <w:rsid w:val="003A61EF"/>
    <w:rsid w:val="003A61F3"/>
    <w:rsid w:val="003A69FC"/>
    <w:rsid w:val="003A6D26"/>
    <w:rsid w:val="003A7AD3"/>
    <w:rsid w:val="003A7DED"/>
    <w:rsid w:val="003B0D98"/>
    <w:rsid w:val="003B11DC"/>
    <w:rsid w:val="003B1374"/>
    <w:rsid w:val="003B16BA"/>
    <w:rsid w:val="003B1757"/>
    <w:rsid w:val="003B19C9"/>
    <w:rsid w:val="003B1DAA"/>
    <w:rsid w:val="003B27C5"/>
    <w:rsid w:val="003B2C5E"/>
    <w:rsid w:val="003B2D79"/>
    <w:rsid w:val="003B30CA"/>
    <w:rsid w:val="003B429D"/>
    <w:rsid w:val="003B482F"/>
    <w:rsid w:val="003B494F"/>
    <w:rsid w:val="003B4A9B"/>
    <w:rsid w:val="003B4AC8"/>
    <w:rsid w:val="003B509B"/>
    <w:rsid w:val="003B5B9A"/>
    <w:rsid w:val="003B5CF1"/>
    <w:rsid w:val="003B6483"/>
    <w:rsid w:val="003B6580"/>
    <w:rsid w:val="003B664A"/>
    <w:rsid w:val="003B6B1C"/>
    <w:rsid w:val="003B71A4"/>
    <w:rsid w:val="003B7566"/>
    <w:rsid w:val="003B7674"/>
    <w:rsid w:val="003B77AC"/>
    <w:rsid w:val="003B7A13"/>
    <w:rsid w:val="003B7D20"/>
    <w:rsid w:val="003C0019"/>
    <w:rsid w:val="003C008E"/>
    <w:rsid w:val="003C04B3"/>
    <w:rsid w:val="003C0951"/>
    <w:rsid w:val="003C0AD9"/>
    <w:rsid w:val="003C202C"/>
    <w:rsid w:val="003C2CE0"/>
    <w:rsid w:val="003C2F97"/>
    <w:rsid w:val="003C3398"/>
    <w:rsid w:val="003C33FE"/>
    <w:rsid w:val="003C378E"/>
    <w:rsid w:val="003C566B"/>
    <w:rsid w:val="003C5783"/>
    <w:rsid w:val="003C5CE3"/>
    <w:rsid w:val="003C5E4A"/>
    <w:rsid w:val="003C61D9"/>
    <w:rsid w:val="003C6536"/>
    <w:rsid w:val="003C6788"/>
    <w:rsid w:val="003C7A91"/>
    <w:rsid w:val="003C7D22"/>
    <w:rsid w:val="003C7EE0"/>
    <w:rsid w:val="003D0EEA"/>
    <w:rsid w:val="003D12C9"/>
    <w:rsid w:val="003D1F51"/>
    <w:rsid w:val="003D29BC"/>
    <w:rsid w:val="003D2F0A"/>
    <w:rsid w:val="003D5282"/>
    <w:rsid w:val="003D5687"/>
    <w:rsid w:val="003D5EA5"/>
    <w:rsid w:val="003D6FA0"/>
    <w:rsid w:val="003D7A5F"/>
    <w:rsid w:val="003D7EB5"/>
    <w:rsid w:val="003E046C"/>
    <w:rsid w:val="003E0959"/>
    <w:rsid w:val="003E0A12"/>
    <w:rsid w:val="003E1049"/>
    <w:rsid w:val="003E14B3"/>
    <w:rsid w:val="003E14B4"/>
    <w:rsid w:val="003E1718"/>
    <w:rsid w:val="003E2023"/>
    <w:rsid w:val="003E23AB"/>
    <w:rsid w:val="003E2D1A"/>
    <w:rsid w:val="003E3F22"/>
    <w:rsid w:val="003E4895"/>
    <w:rsid w:val="003E4C02"/>
    <w:rsid w:val="003E654E"/>
    <w:rsid w:val="003E6768"/>
    <w:rsid w:val="003E6D8F"/>
    <w:rsid w:val="003E7C9A"/>
    <w:rsid w:val="003E7DEA"/>
    <w:rsid w:val="003F0389"/>
    <w:rsid w:val="003F04EA"/>
    <w:rsid w:val="003F07F7"/>
    <w:rsid w:val="003F1012"/>
    <w:rsid w:val="003F11AD"/>
    <w:rsid w:val="003F1410"/>
    <w:rsid w:val="003F1EB2"/>
    <w:rsid w:val="003F227D"/>
    <w:rsid w:val="003F3C1E"/>
    <w:rsid w:val="003F4438"/>
    <w:rsid w:val="003F4F6B"/>
    <w:rsid w:val="003F65D2"/>
    <w:rsid w:val="003F7767"/>
    <w:rsid w:val="00400020"/>
    <w:rsid w:val="004004AF"/>
    <w:rsid w:val="00400839"/>
    <w:rsid w:val="00400D1F"/>
    <w:rsid w:val="00400D34"/>
    <w:rsid w:val="004016F8"/>
    <w:rsid w:val="00403132"/>
    <w:rsid w:val="0040345C"/>
    <w:rsid w:val="00403766"/>
    <w:rsid w:val="00404155"/>
    <w:rsid w:val="004051EE"/>
    <w:rsid w:val="004057FF"/>
    <w:rsid w:val="00405A94"/>
    <w:rsid w:val="004065E2"/>
    <w:rsid w:val="004069D5"/>
    <w:rsid w:val="004071F1"/>
    <w:rsid w:val="00407232"/>
    <w:rsid w:val="0040790E"/>
    <w:rsid w:val="00407ECD"/>
    <w:rsid w:val="00410278"/>
    <w:rsid w:val="0041052B"/>
    <w:rsid w:val="004108CA"/>
    <w:rsid w:val="00410CAD"/>
    <w:rsid w:val="00411D39"/>
    <w:rsid w:val="00411DBF"/>
    <w:rsid w:val="0041267E"/>
    <w:rsid w:val="004127F5"/>
    <w:rsid w:val="00412B55"/>
    <w:rsid w:val="00412EAE"/>
    <w:rsid w:val="004131E7"/>
    <w:rsid w:val="004143AA"/>
    <w:rsid w:val="0041481D"/>
    <w:rsid w:val="00414AEF"/>
    <w:rsid w:val="0041528A"/>
    <w:rsid w:val="004159CE"/>
    <w:rsid w:val="00416428"/>
    <w:rsid w:val="00416494"/>
    <w:rsid w:val="00416F0A"/>
    <w:rsid w:val="00416F4D"/>
    <w:rsid w:val="00420DCF"/>
    <w:rsid w:val="004211FE"/>
    <w:rsid w:val="004217A6"/>
    <w:rsid w:val="00421D47"/>
    <w:rsid w:val="00421D5B"/>
    <w:rsid w:val="004229E8"/>
    <w:rsid w:val="00423071"/>
    <w:rsid w:val="004231D8"/>
    <w:rsid w:val="004239E9"/>
    <w:rsid w:val="004265E2"/>
    <w:rsid w:val="00427535"/>
    <w:rsid w:val="00427E2D"/>
    <w:rsid w:val="0043020B"/>
    <w:rsid w:val="00430B54"/>
    <w:rsid w:val="00431826"/>
    <w:rsid w:val="0043191E"/>
    <w:rsid w:val="00431A60"/>
    <w:rsid w:val="00431DE2"/>
    <w:rsid w:val="00432300"/>
    <w:rsid w:val="00432545"/>
    <w:rsid w:val="00432A85"/>
    <w:rsid w:val="00432D2A"/>
    <w:rsid w:val="00433345"/>
    <w:rsid w:val="00433543"/>
    <w:rsid w:val="00433AB2"/>
    <w:rsid w:val="0043473C"/>
    <w:rsid w:val="00434F4A"/>
    <w:rsid w:val="00435549"/>
    <w:rsid w:val="00435A9A"/>
    <w:rsid w:val="00435D4C"/>
    <w:rsid w:val="00437008"/>
    <w:rsid w:val="00437356"/>
    <w:rsid w:val="00437C5C"/>
    <w:rsid w:val="00440046"/>
    <w:rsid w:val="004403EF"/>
    <w:rsid w:val="00440512"/>
    <w:rsid w:val="00440631"/>
    <w:rsid w:val="00442057"/>
    <w:rsid w:val="004447C7"/>
    <w:rsid w:val="004448D5"/>
    <w:rsid w:val="00444A37"/>
    <w:rsid w:val="00444BDD"/>
    <w:rsid w:val="00444DC5"/>
    <w:rsid w:val="00444EC0"/>
    <w:rsid w:val="00445E06"/>
    <w:rsid w:val="004461CF"/>
    <w:rsid w:val="004474D1"/>
    <w:rsid w:val="00451258"/>
    <w:rsid w:val="00451D18"/>
    <w:rsid w:val="004527FE"/>
    <w:rsid w:val="00453130"/>
    <w:rsid w:val="00453696"/>
    <w:rsid w:val="004536CE"/>
    <w:rsid w:val="0045421D"/>
    <w:rsid w:val="004543C2"/>
    <w:rsid w:val="0045476B"/>
    <w:rsid w:val="0045568D"/>
    <w:rsid w:val="00455F63"/>
    <w:rsid w:val="00456079"/>
    <w:rsid w:val="0045677F"/>
    <w:rsid w:val="0045757F"/>
    <w:rsid w:val="00460496"/>
    <w:rsid w:val="00460583"/>
    <w:rsid w:val="00460975"/>
    <w:rsid w:val="00460B69"/>
    <w:rsid w:val="00460C91"/>
    <w:rsid w:val="00461A5B"/>
    <w:rsid w:val="00461C1B"/>
    <w:rsid w:val="00461FB3"/>
    <w:rsid w:val="00462B31"/>
    <w:rsid w:val="0046335E"/>
    <w:rsid w:val="00463885"/>
    <w:rsid w:val="00464A19"/>
    <w:rsid w:val="00465782"/>
    <w:rsid w:val="00466172"/>
    <w:rsid w:val="00466F14"/>
    <w:rsid w:val="00466FAE"/>
    <w:rsid w:val="00467626"/>
    <w:rsid w:val="00467DE1"/>
    <w:rsid w:val="004704D6"/>
    <w:rsid w:val="00470595"/>
    <w:rsid w:val="004718C6"/>
    <w:rsid w:val="0047197C"/>
    <w:rsid w:val="00471AE1"/>
    <w:rsid w:val="00471D30"/>
    <w:rsid w:val="004725CD"/>
    <w:rsid w:val="0047295B"/>
    <w:rsid w:val="00473F75"/>
    <w:rsid w:val="00475632"/>
    <w:rsid w:val="004756D3"/>
    <w:rsid w:val="0047668B"/>
    <w:rsid w:val="0047670D"/>
    <w:rsid w:val="00476BFC"/>
    <w:rsid w:val="00477CC3"/>
    <w:rsid w:val="00480204"/>
    <w:rsid w:val="0048074A"/>
    <w:rsid w:val="00480DB7"/>
    <w:rsid w:val="0048113D"/>
    <w:rsid w:val="0048168E"/>
    <w:rsid w:val="004821AB"/>
    <w:rsid w:val="00482311"/>
    <w:rsid w:val="0048326E"/>
    <w:rsid w:val="004839D5"/>
    <w:rsid w:val="004840ED"/>
    <w:rsid w:val="004848AF"/>
    <w:rsid w:val="0048518E"/>
    <w:rsid w:val="0048520E"/>
    <w:rsid w:val="00486174"/>
    <w:rsid w:val="004868EC"/>
    <w:rsid w:val="0048699C"/>
    <w:rsid w:val="00486F42"/>
    <w:rsid w:val="004872A0"/>
    <w:rsid w:val="00487B68"/>
    <w:rsid w:val="00490B85"/>
    <w:rsid w:val="00490F67"/>
    <w:rsid w:val="004911AF"/>
    <w:rsid w:val="0049183B"/>
    <w:rsid w:val="0049222C"/>
    <w:rsid w:val="004922E6"/>
    <w:rsid w:val="00492330"/>
    <w:rsid w:val="00493915"/>
    <w:rsid w:val="00493C31"/>
    <w:rsid w:val="0049449F"/>
    <w:rsid w:val="004945EE"/>
    <w:rsid w:val="00494931"/>
    <w:rsid w:val="004951AE"/>
    <w:rsid w:val="004957C8"/>
    <w:rsid w:val="00495F21"/>
    <w:rsid w:val="00495F22"/>
    <w:rsid w:val="00496962"/>
    <w:rsid w:val="00496B24"/>
    <w:rsid w:val="004975DC"/>
    <w:rsid w:val="004A0049"/>
    <w:rsid w:val="004A0F09"/>
    <w:rsid w:val="004A0FAC"/>
    <w:rsid w:val="004A15D2"/>
    <w:rsid w:val="004A16A8"/>
    <w:rsid w:val="004A1783"/>
    <w:rsid w:val="004A2159"/>
    <w:rsid w:val="004A2563"/>
    <w:rsid w:val="004A32EE"/>
    <w:rsid w:val="004A3765"/>
    <w:rsid w:val="004A3C35"/>
    <w:rsid w:val="004A534E"/>
    <w:rsid w:val="004A57AA"/>
    <w:rsid w:val="004A596D"/>
    <w:rsid w:val="004A5CF3"/>
    <w:rsid w:val="004A650A"/>
    <w:rsid w:val="004A652A"/>
    <w:rsid w:val="004A66E2"/>
    <w:rsid w:val="004A6F8B"/>
    <w:rsid w:val="004A72B2"/>
    <w:rsid w:val="004A795D"/>
    <w:rsid w:val="004A7C75"/>
    <w:rsid w:val="004B0169"/>
    <w:rsid w:val="004B0B70"/>
    <w:rsid w:val="004B1A02"/>
    <w:rsid w:val="004B1F67"/>
    <w:rsid w:val="004B2130"/>
    <w:rsid w:val="004B2554"/>
    <w:rsid w:val="004B259A"/>
    <w:rsid w:val="004B2ED7"/>
    <w:rsid w:val="004B3879"/>
    <w:rsid w:val="004B3E1C"/>
    <w:rsid w:val="004B3FE3"/>
    <w:rsid w:val="004B44F9"/>
    <w:rsid w:val="004B4DF1"/>
    <w:rsid w:val="004B517D"/>
    <w:rsid w:val="004B5AC2"/>
    <w:rsid w:val="004B5ACF"/>
    <w:rsid w:val="004B6166"/>
    <w:rsid w:val="004B6202"/>
    <w:rsid w:val="004B64D1"/>
    <w:rsid w:val="004B6749"/>
    <w:rsid w:val="004B6E4F"/>
    <w:rsid w:val="004B7163"/>
    <w:rsid w:val="004B7854"/>
    <w:rsid w:val="004B7C63"/>
    <w:rsid w:val="004C1B6D"/>
    <w:rsid w:val="004C1EEB"/>
    <w:rsid w:val="004C2107"/>
    <w:rsid w:val="004C21CF"/>
    <w:rsid w:val="004C2640"/>
    <w:rsid w:val="004C271D"/>
    <w:rsid w:val="004C295E"/>
    <w:rsid w:val="004C375F"/>
    <w:rsid w:val="004C3C24"/>
    <w:rsid w:val="004C4505"/>
    <w:rsid w:val="004C468A"/>
    <w:rsid w:val="004C47E8"/>
    <w:rsid w:val="004C494B"/>
    <w:rsid w:val="004C4F95"/>
    <w:rsid w:val="004C598E"/>
    <w:rsid w:val="004C6710"/>
    <w:rsid w:val="004C6F5F"/>
    <w:rsid w:val="004C7189"/>
    <w:rsid w:val="004C72A5"/>
    <w:rsid w:val="004C7FE5"/>
    <w:rsid w:val="004D0884"/>
    <w:rsid w:val="004D0C05"/>
    <w:rsid w:val="004D0E33"/>
    <w:rsid w:val="004D116A"/>
    <w:rsid w:val="004D1B31"/>
    <w:rsid w:val="004D1E70"/>
    <w:rsid w:val="004D1F3A"/>
    <w:rsid w:val="004D271F"/>
    <w:rsid w:val="004D2BED"/>
    <w:rsid w:val="004D2D74"/>
    <w:rsid w:val="004D3292"/>
    <w:rsid w:val="004D34E3"/>
    <w:rsid w:val="004D449D"/>
    <w:rsid w:val="004D47C9"/>
    <w:rsid w:val="004D4B28"/>
    <w:rsid w:val="004D57FF"/>
    <w:rsid w:val="004D5C88"/>
    <w:rsid w:val="004D6540"/>
    <w:rsid w:val="004D67BB"/>
    <w:rsid w:val="004D74C3"/>
    <w:rsid w:val="004D776B"/>
    <w:rsid w:val="004E0A45"/>
    <w:rsid w:val="004E1BD7"/>
    <w:rsid w:val="004E1CB0"/>
    <w:rsid w:val="004E226E"/>
    <w:rsid w:val="004E24C2"/>
    <w:rsid w:val="004E2824"/>
    <w:rsid w:val="004E29F4"/>
    <w:rsid w:val="004E2C3A"/>
    <w:rsid w:val="004E2C7B"/>
    <w:rsid w:val="004E2C96"/>
    <w:rsid w:val="004E3606"/>
    <w:rsid w:val="004E3612"/>
    <w:rsid w:val="004E41ED"/>
    <w:rsid w:val="004E43AF"/>
    <w:rsid w:val="004E549C"/>
    <w:rsid w:val="004E561D"/>
    <w:rsid w:val="004E59A0"/>
    <w:rsid w:val="004E5F50"/>
    <w:rsid w:val="004E5FA0"/>
    <w:rsid w:val="004E6529"/>
    <w:rsid w:val="004E6C78"/>
    <w:rsid w:val="004E7050"/>
    <w:rsid w:val="004E7634"/>
    <w:rsid w:val="004E7E05"/>
    <w:rsid w:val="004F06FF"/>
    <w:rsid w:val="004F0909"/>
    <w:rsid w:val="004F09D3"/>
    <w:rsid w:val="004F0EF4"/>
    <w:rsid w:val="004F1814"/>
    <w:rsid w:val="004F1B68"/>
    <w:rsid w:val="004F3011"/>
    <w:rsid w:val="004F3146"/>
    <w:rsid w:val="004F3382"/>
    <w:rsid w:val="004F43EF"/>
    <w:rsid w:val="004F4703"/>
    <w:rsid w:val="004F4C38"/>
    <w:rsid w:val="004F4D16"/>
    <w:rsid w:val="004F52DE"/>
    <w:rsid w:val="004F5A81"/>
    <w:rsid w:val="004F5BB6"/>
    <w:rsid w:val="004F669A"/>
    <w:rsid w:val="005001FE"/>
    <w:rsid w:val="00503062"/>
    <w:rsid w:val="00503351"/>
    <w:rsid w:val="0050381E"/>
    <w:rsid w:val="0050393D"/>
    <w:rsid w:val="0050448C"/>
    <w:rsid w:val="00504CFE"/>
    <w:rsid w:val="00505289"/>
    <w:rsid w:val="005056F8"/>
    <w:rsid w:val="00505AA1"/>
    <w:rsid w:val="00505D52"/>
    <w:rsid w:val="0050661A"/>
    <w:rsid w:val="005079FB"/>
    <w:rsid w:val="00507A82"/>
    <w:rsid w:val="00510B2E"/>
    <w:rsid w:val="0051136C"/>
    <w:rsid w:val="00511D29"/>
    <w:rsid w:val="00512231"/>
    <w:rsid w:val="0051308F"/>
    <w:rsid w:val="005132BB"/>
    <w:rsid w:val="00513B5E"/>
    <w:rsid w:val="00513DFE"/>
    <w:rsid w:val="00513E0B"/>
    <w:rsid w:val="00514F20"/>
    <w:rsid w:val="00515664"/>
    <w:rsid w:val="00515BB3"/>
    <w:rsid w:val="0051613B"/>
    <w:rsid w:val="005172F7"/>
    <w:rsid w:val="0051770D"/>
    <w:rsid w:val="005178BC"/>
    <w:rsid w:val="00517DE3"/>
    <w:rsid w:val="00522354"/>
    <w:rsid w:val="00522A8E"/>
    <w:rsid w:val="00522C81"/>
    <w:rsid w:val="0052320A"/>
    <w:rsid w:val="0052337D"/>
    <w:rsid w:val="00523659"/>
    <w:rsid w:val="005237F5"/>
    <w:rsid w:val="0052395E"/>
    <w:rsid w:val="005240F4"/>
    <w:rsid w:val="0052472C"/>
    <w:rsid w:val="00526230"/>
    <w:rsid w:val="005262A8"/>
    <w:rsid w:val="005276E5"/>
    <w:rsid w:val="00530963"/>
    <w:rsid w:val="00531172"/>
    <w:rsid w:val="00531C46"/>
    <w:rsid w:val="0053249D"/>
    <w:rsid w:val="00532A79"/>
    <w:rsid w:val="005333A7"/>
    <w:rsid w:val="005334CC"/>
    <w:rsid w:val="00533887"/>
    <w:rsid w:val="00533DB6"/>
    <w:rsid w:val="00534FAA"/>
    <w:rsid w:val="005350DE"/>
    <w:rsid w:val="0053549A"/>
    <w:rsid w:val="0053640C"/>
    <w:rsid w:val="00536B92"/>
    <w:rsid w:val="0053754B"/>
    <w:rsid w:val="005375FE"/>
    <w:rsid w:val="00537D7E"/>
    <w:rsid w:val="00540884"/>
    <w:rsid w:val="005410BB"/>
    <w:rsid w:val="0054144F"/>
    <w:rsid w:val="005418DE"/>
    <w:rsid w:val="00541932"/>
    <w:rsid w:val="00542329"/>
    <w:rsid w:val="00542889"/>
    <w:rsid w:val="005429AF"/>
    <w:rsid w:val="005435F7"/>
    <w:rsid w:val="005437AC"/>
    <w:rsid w:val="0054387C"/>
    <w:rsid w:val="005440CB"/>
    <w:rsid w:val="005447AD"/>
    <w:rsid w:val="005454A0"/>
    <w:rsid w:val="00545641"/>
    <w:rsid w:val="00545658"/>
    <w:rsid w:val="005467F5"/>
    <w:rsid w:val="00547492"/>
    <w:rsid w:val="00547A3D"/>
    <w:rsid w:val="00551695"/>
    <w:rsid w:val="00551A8E"/>
    <w:rsid w:val="00552085"/>
    <w:rsid w:val="005521B1"/>
    <w:rsid w:val="00552240"/>
    <w:rsid w:val="00552922"/>
    <w:rsid w:val="00552A2E"/>
    <w:rsid w:val="005530C0"/>
    <w:rsid w:val="0055313D"/>
    <w:rsid w:val="005535BA"/>
    <w:rsid w:val="0055388C"/>
    <w:rsid w:val="005548CE"/>
    <w:rsid w:val="005555CB"/>
    <w:rsid w:val="005559DC"/>
    <w:rsid w:val="00555A85"/>
    <w:rsid w:val="00555E88"/>
    <w:rsid w:val="005560BD"/>
    <w:rsid w:val="0055658D"/>
    <w:rsid w:val="005569B3"/>
    <w:rsid w:val="00556F88"/>
    <w:rsid w:val="00557C5F"/>
    <w:rsid w:val="00560701"/>
    <w:rsid w:val="00560AA1"/>
    <w:rsid w:val="00560D7D"/>
    <w:rsid w:val="005618FD"/>
    <w:rsid w:val="00561BD1"/>
    <w:rsid w:val="00562EE2"/>
    <w:rsid w:val="00562EEB"/>
    <w:rsid w:val="005631DB"/>
    <w:rsid w:val="0056323E"/>
    <w:rsid w:val="00563F7D"/>
    <w:rsid w:val="005642DC"/>
    <w:rsid w:val="00564551"/>
    <w:rsid w:val="005645FB"/>
    <w:rsid w:val="00564B65"/>
    <w:rsid w:val="005655B5"/>
    <w:rsid w:val="00566582"/>
    <w:rsid w:val="005676DA"/>
    <w:rsid w:val="00567736"/>
    <w:rsid w:val="00570023"/>
    <w:rsid w:val="005707BD"/>
    <w:rsid w:val="00571363"/>
    <w:rsid w:val="00571D4A"/>
    <w:rsid w:val="00572519"/>
    <w:rsid w:val="00572528"/>
    <w:rsid w:val="00572D33"/>
    <w:rsid w:val="00572F31"/>
    <w:rsid w:val="00573185"/>
    <w:rsid w:val="005739DC"/>
    <w:rsid w:val="00573C61"/>
    <w:rsid w:val="0057556C"/>
    <w:rsid w:val="00576A50"/>
    <w:rsid w:val="00580CB5"/>
    <w:rsid w:val="005817CD"/>
    <w:rsid w:val="00581F0D"/>
    <w:rsid w:val="00582153"/>
    <w:rsid w:val="00582C54"/>
    <w:rsid w:val="00582F79"/>
    <w:rsid w:val="00583131"/>
    <w:rsid w:val="00583170"/>
    <w:rsid w:val="005831BE"/>
    <w:rsid w:val="00584CAD"/>
    <w:rsid w:val="005858A3"/>
    <w:rsid w:val="0058695E"/>
    <w:rsid w:val="005869DB"/>
    <w:rsid w:val="0058785A"/>
    <w:rsid w:val="00587C6F"/>
    <w:rsid w:val="005900D2"/>
    <w:rsid w:val="005902E9"/>
    <w:rsid w:val="00591776"/>
    <w:rsid w:val="005918C4"/>
    <w:rsid w:val="005919D0"/>
    <w:rsid w:val="00591A4A"/>
    <w:rsid w:val="005927DE"/>
    <w:rsid w:val="00593A6F"/>
    <w:rsid w:val="0059582A"/>
    <w:rsid w:val="00595867"/>
    <w:rsid w:val="00595CC4"/>
    <w:rsid w:val="00595DC1"/>
    <w:rsid w:val="00595E76"/>
    <w:rsid w:val="00596271"/>
    <w:rsid w:val="00596570"/>
    <w:rsid w:val="0059660B"/>
    <w:rsid w:val="00597291"/>
    <w:rsid w:val="005A06F3"/>
    <w:rsid w:val="005A0FA6"/>
    <w:rsid w:val="005A0FF4"/>
    <w:rsid w:val="005A1282"/>
    <w:rsid w:val="005A1A31"/>
    <w:rsid w:val="005A1B40"/>
    <w:rsid w:val="005A1CB3"/>
    <w:rsid w:val="005A21FD"/>
    <w:rsid w:val="005A22A8"/>
    <w:rsid w:val="005A2353"/>
    <w:rsid w:val="005A2BFF"/>
    <w:rsid w:val="005A3206"/>
    <w:rsid w:val="005A3A57"/>
    <w:rsid w:val="005A3B00"/>
    <w:rsid w:val="005A3F9E"/>
    <w:rsid w:val="005A47D5"/>
    <w:rsid w:val="005A5726"/>
    <w:rsid w:val="005A6B12"/>
    <w:rsid w:val="005A70D0"/>
    <w:rsid w:val="005A7D0A"/>
    <w:rsid w:val="005B0281"/>
    <w:rsid w:val="005B097E"/>
    <w:rsid w:val="005B1442"/>
    <w:rsid w:val="005B16E9"/>
    <w:rsid w:val="005B1B05"/>
    <w:rsid w:val="005B1EF0"/>
    <w:rsid w:val="005B2087"/>
    <w:rsid w:val="005B2ADC"/>
    <w:rsid w:val="005B2B43"/>
    <w:rsid w:val="005B2F96"/>
    <w:rsid w:val="005B4469"/>
    <w:rsid w:val="005B6900"/>
    <w:rsid w:val="005B6ACE"/>
    <w:rsid w:val="005B7047"/>
    <w:rsid w:val="005B752D"/>
    <w:rsid w:val="005B753E"/>
    <w:rsid w:val="005B7B0E"/>
    <w:rsid w:val="005B7B22"/>
    <w:rsid w:val="005B7CB8"/>
    <w:rsid w:val="005C0005"/>
    <w:rsid w:val="005C0749"/>
    <w:rsid w:val="005C0A6C"/>
    <w:rsid w:val="005C0FF1"/>
    <w:rsid w:val="005C1124"/>
    <w:rsid w:val="005C183C"/>
    <w:rsid w:val="005C2304"/>
    <w:rsid w:val="005C24D1"/>
    <w:rsid w:val="005C3223"/>
    <w:rsid w:val="005C3235"/>
    <w:rsid w:val="005C3448"/>
    <w:rsid w:val="005C3A96"/>
    <w:rsid w:val="005C45E2"/>
    <w:rsid w:val="005C466F"/>
    <w:rsid w:val="005C4AF1"/>
    <w:rsid w:val="005C4CA4"/>
    <w:rsid w:val="005C4E9C"/>
    <w:rsid w:val="005C54D0"/>
    <w:rsid w:val="005C5C2D"/>
    <w:rsid w:val="005C642A"/>
    <w:rsid w:val="005C666B"/>
    <w:rsid w:val="005C6E91"/>
    <w:rsid w:val="005C7A04"/>
    <w:rsid w:val="005C7DCC"/>
    <w:rsid w:val="005D019C"/>
    <w:rsid w:val="005D0EDE"/>
    <w:rsid w:val="005D0FED"/>
    <w:rsid w:val="005D111E"/>
    <w:rsid w:val="005D12DE"/>
    <w:rsid w:val="005D136A"/>
    <w:rsid w:val="005D1776"/>
    <w:rsid w:val="005D20F0"/>
    <w:rsid w:val="005D235A"/>
    <w:rsid w:val="005D27CF"/>
    <w:rsid w:val="005D2A17"/>
    <w:rsid w:val="005D3A75"/>
    <w:rsid w:val="005D4F04"/>
    <w:rsid w:val="005D5B3C"/>
    <w:rsid w:val="005D6BB2"/>
    <w:rsid w:val="005D6E84"/>
    <w:rsid w:val="005D7741"/>
    <w:rsid w:val="005D77F1"/>
    <w:rsid w:val="005D7ADC"/>
    <w:rsid w:val="005E11CC"/>
    <w:rsid w:val="005E1410"/>
    <w:rsid w:val="005E194D"/>
    <w:rsid w:val="005E1A82"/>
    <w:rsid w:val="005E1BC5"/>
    <w:rsid w:val="005E2550"/>
    <w:rsid w:val="005E299B"/>
    <w:rsid w:val="005E2BCB"/>
    <w:rsid w:val="005E33B3"/>
    <w:rsid w:val="005E3444"/>
    <w:rsid w:val="005E3508"/>
    <w:rsid w:val="005E3623"/>
    <w:rsid w:val="005E373C"/>
    <w:rsid w:val="005E3987"/>
    <w:rsid w:val="005E39F8"/>
    <w:rsid w:val="005E3E9B"/>
    <w:rsid w:val="005E4720"/>
    <w:rsid w:val="005E479E"/>
    <w:rsid w:val="005E4C9A"/>
    <w:rsid w:val="005E5186"/>
    <w:rsid w:val="005E566C"/>
    <w:rsid w:val="005E63B4"/>
    <w:rsid w:val="005E6661"/>
    <w:rsid w:val="005E677A"/>
    <w:rsid w:val="005E6B1A"/>
    <w:rsid w:val="005E71C4"/>
    <w:rsid w:val="005F0245"/>
    <w:rsid w:val="005F051C"/>
    <w:rsid w:val="005F057E"/>
    <w:rsid w:val="005F0E07"/>
    <w:rsid w:val="005F12C3"/>
    <w:rsid w:val="005F19AC"/>
    <w:rsid w:val="005F1E16"/>
    <w:rsid w:val="005F21C2"/>
    <w:rsid w:val="005F30A5"/>
    <w:rsid w:val="005F37EF"/>
    <w:rsid w:val="005F4A4A"/>
    <w:rsid w:val="005F4A98"/>
    <w:rsid w:val="005F583E"/>
    <w:rsid w:val="005F58D9"/>
    <w:rsid w:val="005F5B4D"/>
    <w:rsid w:val="005F606B"/>
    <w:rsid w:val="006008E8"/>
    <w:rsid w:val="00601233"/>
    <w:rsid w:val="00601363"/>
    <w:rsid w:val="006020F9"/>
    <w:rsid w:val="00602311"/>
    <w:rsid w:val="00602990"/>
    <w:rsid w:val="00603D90"/>
    <w:rsid w:val="00605384"/>
    <w:rsid w:val="0060634D"/>
    <w:rsid w:val="0060668C"/>
    <w:rsid w:val="006068CC"/>
    <w:rsid w:val="00606A2B"/>
    <w:rsid w:val="00607274"/>
    <w:rsid w:val="00607332"/>
    <w:rsid w:val="0060739A"/>
    <w:rsid w:val="006075B7"/>
    <w:rsid w:val="0060789C"/>
    <w:rsid w:val="00607B21"/>
    <w:rsid w:val="006117B2"/>
    <w:rsid w:val="0061191E"/>
    <w:rsid w:val="0061199D"/>
    <w:rsid w:val="00611D1D"/>
    <w:rsid w:val="00611E2C"/>
    <w:rsid w:val="0061217F"/>
    <w:rsid w:val="00612725"/>
    <w:rsid w:val="00612815"/>
    <w:rsid w:val="00612FB4"/>
    <w:rsid w:val="006135C2"/>
    <w:rsid w:val="0061364A"/>
    <w:rsid w:val="00613B71"/>
    <w:rsid w:val="00613F43"/>
    <w:rsid w:val="0061457F"/>
    <w:rsid w:val="006149B3"/>
    <w:rsid w:val="00614D3C"/>
    <w:rsid w:val="006156B2"/>
    <w:rsid w:val="00615D55"/>
    <w:rsid w:val="006166EE"/>
    <w:rsid w:val="00616CEC"/>
    <w:rsid w:val="00616CFD"/>
    <w:rsid w:val="00616D4C"/>
    <w:rsid w:val="0061742D"/>
    <w:rsid w:val="00617652"/>
    <w:rsid w:val="0061774A"/>
    <w:rsid w:val="006201DD"/>
    <w:rsid w:val="00620AF0"/>
    <w:rsid w:val="00620C34"/>
    <w:rsid w:val="00621F13"/>
    <w:rsid w:val="006221D5"/>
    <w:rsid w:val="00622209"/>
    <w:rsid w:val="0062222D"/>
    <w:rsid w:val="00622DCD"/>
    <w:rsid w:val="00622EF7"/>
    <w:rsid w:val="006235D5"/>
    <w:rsid w:val="006236DC"/>
    <w:rsid w:val="0062380E"/>
    <w:rsid w:val="006239D8"/>
    <w:rsid w:val="00623A81"/>
    <w:rsid w:val="00624CDF"/>
    <w:rsid w:val="00625063"/>
    <w:rsid w:val="00625A33"/>
    <w:rsid w:val="00625AB1"/>
    <w:rsid w:val="00626511"/>
    <w:rsid w:val="00626A88"/>
    <w:rsid w:val="0063015F"/>
    <w:rsid w:val="006314F1"/>
    <w:rsid w:val="00632156"/>
    <w:rsid w:val="006321DC"/>
    <w:rsid w:val="00632A14"/>
    <w:rsid w:val="0063300C"/>
    <w:rsid w:val="006332ED"/>
    <w:rsid w:val="00633622"/>
    <w:rsid w:val="00633C71"/>
    <w:rsid w:val="0063456D"/>
    <w:rsid w:val="00634EF9"/>
    <w:rsid w:val="006359DF"/>
    <w:rsid w:val="00635AAC"/>
    <w:rsid w:val="00635C9F"/>
    <w:rsid w:val="00635F49"/>
    <w:rsid w:val="006365B2"/>
    <w:rsid w:val="00636CD5"/>
    <w:rsid w:val="00636F0D"/>
    <w:rsid w:val="00637B0A"/>
    <w:rsid w:val="00637E66"/>
    <w:rsid w:val="0064087A"/>
    <w:rsid w:val="006418F6"/>
    <w:rsid w:val="00641DA9"/>
    <w:rsid w:val="006421F8"/>
    <w:rsid w:val="006426E6"/>
    <w:rsid w:val="006436FB"/>
    <w:rsid w:val="006438E4"/>
    <w:rsid w:val="00643EEF"/>
    <w:rsid w:val="0064441B"/>
    <w:rsid w:val="006447B0"/>
    <w:rsid w:val="00644C8D"/>
    <w:rsid w:val="00644E45"/>
    <w:rsid w:val="00645F79"/>
    <w:rsid w:val="006461F1"/>
    <w:rsid w:val="00646236"/>
    <w:rsid w:val="006467DB"/>
    <w:rsid w:val="006469DB"/>
    <w:rsid w:val="00646FA2"/>
    <w:rsid w:val="006471B6"/>
    <w:rsid w:val="006475B5"/>
    <w:rsid w:val="006500A8"/>
    <w:rsid w:val="0065043C"/>
    <w:rsid w:val="006504A7"/>
    <w:rsid w:val="006505C7"/>
    <w:rsid w:val="0065151D"/>
    <w:rsid w:val="00651A52"/>
    <w:rsid w:val="00652296"/>
    <w:rsid w:val="0065277D"/>
    <w:rsid w:val="006527B4"/>
    <w:rsid w:val="006537A5"/>
    <w:rsid w:val="006539EA"/>
    <w:rsid w:val="00654462"/>
    <w:rsid w:val="00655AEA"/>
    <w:rsid w:val="00655D98"/>
    <w:rsid w:val="00656775"/>
    <w:rsid w:val="00656A7D"/>
    <w:rsid w:val="00657499"/>
    <w:rsid w:val="006579CA"/>
    <w:rsid w:val="00657D70"/>
    <w:rsid w:val="006605CE"/>
    <w:rsid w:val="006606D4"/>
    <w:rsid w:val="0066147E"/>
    <w:rsid w:val="006614B5"/>
    <w:rsid w:val="00661762"/>
    <w:rsid w:val="00661C59"/>
    <w:rsid w:val="00661F76"/>
    <w:rsid w:val="00663D3B"/>
    <w:rsid w:val="0066416E"/>
    <w:rsid w:val="0066460D"/>
    <w:rsid w:val="006659C1"/>
    <w:rsid w:val="006665BE"/>
    <w:rsid w:val="00666B39"/>
    <w:rsid w:val="00666E12"/>
    <w:rsid w:val="00667266"/>
    <w:rsid w:val="00667508"/>
    <w:rsid w:val="006702C6"/>
    <w:rsid w:val="0067138D"/>
    <w:rsid w:val="00671402"/>
    <w:rsid w:val="006716E5"/>
    <w:rsid w:val="0067252D"/>
    <w:rsid w:val="0067266B"/>
    <w:rsid w:val="00672C8C"/>
    <w:rsid w:val="00673ACD"/>
    <w:rsid w:val="00674044"/>
    <w:rsid w:val="006747CE"/>
    <w:rsid w:val="00674A12"/>
    <w:rsid w:val="00674F3C"/>
    <w:rsid w:val="00675C11"/>
    <w:rsid w:val="00676035"/>
    <w:rsid w:val="0067651E"/>
    <w:rsid w:val="006768A3"/>
    <w:rsid w:val="006768A6"/>
    <w:rsid w:val="0067691C"/>
    <w:rsid w:val="00676B8F"/>
    <w:rsid w:val="00677673"/>
    <w:rsid w:val="00677CC7"/>
    <w:rsid w:val="006801D9"/>
    <w:rsid w:val="00680234"/>
    <w:rsid w:val="006805D4"/>
    <w:rsid w:val="00681148"/>
    <w:rsid w:val="00681C63"/>
    <w:rsid w:val="00681D41"/>
    <w:rsid w:val="0068241B"/>
    <w:rsid w:val="00684C0C"/>
    <w:rsid w:val="00684F95"/>
    <w:rsid w:val="00685474"/>
    <w:rsid w:val="00685960"/>
    <w:rsid w:val="0068597E"/>
    <w:rsid w:val="006859F8"/>
    <w:rsid w:val="00685AEC"/>
    <w:rsid w:val="00685B00"/>
    <w:rsid w:val="00686684"/>
    <w:rsid w:val="00686843"/>
    <w:rsid w:val="006868AB"/>
    <w:rsid w:val="00686B08"/>
    <w:rsid w:val="00687039"/>
    <w:rsid w:val="006905F0"/>
    <w:rsid w:val="00690C00"/>
    <w:rsid w:val="00690DC0"/>
    <w:rsid w:val="00690FA6"/>
    <w:rsid w:val="0069157B"/>
    <w:rsid w:val="00691BEB"/>
    <w:rsid w:val="00691DD8"/>
    <w:rsid w:val="00692498"/>
    <w:rsid w:val="00692544"/>
    <w:rsid w:val="00692E64"/>
    <w:rsid w:val="006931D7"/>
    <w:rsid w:val="006933BF"/>
    <w:rsid w:val="006933E3"/>
    <w:rsid w:val="006938E1"/>
    <w:rsid w:val="00693F85"/>
    <w:rsid w:val="00694377"/>
    <w:rsid w:val="00695377"/>
    <w:rsid w:val="00695B3E"/>
    <w:rsid w:val="006961CF"/>
    <w:rsid w:val="00696465"/>
    <w:rsid w:val="00697124"/>
    <w:rsid w:val="00697302"/>
    <w:rsid w:val="00697873"/>
    <w:rsid w:val="006A0266"/>
    <w:rsid w:val="006A0286"/>
    <w:rsid w:val="006A07E0"/>
    <w:rsid w:val="006A0DAE"/>
    <w:rsid w:val="006A17DB"/>
    <w:rsid w:val="006A1BBD"/>
    <w:rsid w:val="006A1C67"/>
    <w:rsid w:val="006A1FAC"/>
    <w:rsid w:val="006A4773"/>
    <w:rsid w:val="006A4EBF"/>
    <w:rsid w:val="006A5498"/>
    <w:rsid w:val="006A5C70"/>
    <w:rsid w:val="006A5EE4"/>
    <w:rsid w:val="006A5F8F"/>
    <w:rsid w:val="006A616E"/>
    <w:rsid w:val="006A66C3"/>
    <w:rsid w:val="006A74D6"/>
    <w:rsid w:val="006B0A16"/>
    <w:rsid w:val="006B117A"/>
    <w:rsid w:val="006B1735"/>
    <w:rsid w:val="006B2024"/>
    <w:rsid w:val="006B280E"/>
    <w:rsid w:val="006B3AFE"/>
    <w:rsid w:val="006B3C59"/>
    <w:rsid w:val="006B3E68"/>
    <w:rsid w:val="006B4640"/>
    <w:rsid w:val="006B4B22"/>
    <w:rsid w:val="006B4BB5"/>
    <w:rsid w:val="006B4D51"/>
    <w:rsid w:val="006B4FBB"/>
    <w:rsid w:val="006B5A15"/>
    <w:rsid w:val="006B5BBA"/>
    <w:rsid w:val="006B6AB1"/>
    <w:rsid w:val="006B73EC"/>
    <w:rsid w:val="006B7813"/>
    <w:rsid w:val="006B7C77"/>
    <w:rsid w:val="006C0DFB"/>
    <w:rsid w:val="006C1BDF"/>
    <w:rsid w:val="006C24E3"/>
    <w:rsid w:val="006C25B4"/>
    <w:rsid w:val="006C3843"/>
    <w:rsid w:val="006C3C21"/>
    <w:rsid w:val="006C3D82"/>
    <w:rsid w:val="006C5903"/>
    <w:rsid w:val="006C5B42"/>
    <w:rsid w:val="006C64A2"/>
    <w:rsid w:val="006C6A9B"/>
    <w:rsid w:val="006C739D"/>
    <w:rsid w:val="006C7B3A"/>
    <w:rsid w:val="006C7C92"/>
    <w:rsid w:val="006D0001"/>
    <w:rsid w:val="006D00C1"/>
    <w:rsid w:val="006D1533"/>
    <w:rsid w:val="006D1C4D"/>
    <w:rsid w:val="006D1D95"/>
    <w:rsid w:val="006D20D3"/>
    <w:rsid w:val="006D271B"/>
    <w:rsid w:val="006D346A"/>
    <w:rsid w:val="006D3998"/>
    <w:rsid w:val="006D4136"/>
    <w:rsid w:val="006D4341"/>
    <w:rsid w:val="006D4457"/>
    <w:rsid w:val="006D4656"/>
    <w:rsid w:val="006D50F5"/>
    <w:rsid w:val="006D5435"/>
    <w:rsid w:val="006D5B07"/>
    <w:rsid w:val="006D60D6"/>
    <w:rsid w:val="006D64C0"/>
    <w:rsid w:val="006D676A"/>
    <w:rsid w:val="006D695F"/>
    <w:rsid w:val="006D6E24"/>
    <w:rsid w:val="006D72C3"/>
    <w:rsid w:val="006D7494"/>
    <w:rsid w:val="006D7B10"/>
    <w:rsid w:val="006E003E"/>
    <w:rsid w:val="006E0673"/>
    <w:rsid w:val="006E09AA"/>
    <w:rsid w:val="006E0F87"/>
    <w:rsid w:val="006E18B8"/>
    <w:rsid w:val="006E29F5"/>
    <w:rsid w:val="006E2E99"/>
    <w:rsid w:val="006E3033"/>
    <w:rsid w:val="006E31EF"/>
    <w:rsid w:val="006E3298"/>
    <w:rsid w:val="006E3644"/>
    <w:rsid w:val="006E3DB9"/>
    <w:rsid w:val="006E3EC8"/>
    <w:rsid w:val="006E59A4"/>
    <w:rsid w:val="006E5BB3"/>
    <w:rsid w:val="006E5BE3"/>
    <w:rsid w:val="006E5C1E"/>
    <w:rsid w:val="006E5DAA"/>
    <w:rsid w:val="006E64B4"/>
    <w:rsid w:val="006E6514"/>
    <w:rsid w:val="006E67F9"/>
    <w:rsid w:val="006E6C32"/>
    <w:rsid w:val="006E764D"/>
    <w:rsid w:val="006E77F0"/>
    <w:rsid w:val="006F0721"/>
    <w:rsid w:val="006F0907"/>
    <w:rsid w:val="006F0A6D"/>
    <w:rsid w:val="006F106A"/>
    <w:rsid w:val="006F268D"/>
    <w:rsid w:val="006F2E5D"/>
    <w:rsid w:val="006F343A"/>
    <w:rsid w:val="006F3CEE"/>
    <w:rsid w:val="006F3FA7"/>
    <w:rsid w:val="006F4095"/>
    <w:rsid w:val="006F428E"/>
    <w:rsid w:val="006F45E2"/>
    <w:rsid w:val="006F4DE2"/>
    <w:rsid w:val="006F56B7"/>
    <w:rsid w:val="006F57A6"/>
    <w:rsid w:val="006F5BFD"/>
    <w:rsid w:val="006F62FD"/>
    <w:rsid w:val="006F6F08"/>
    <w:rsid w:val="006F7231"/>
    <w:rsid w:val="0070043C"/>
    <w:rsid w:val="00701F05"/>
    <w:rsid w:val="00702056"/>
    <w:rsid w:val="00702882"/>
    <w:rsid w:val="007028EE"/>
    <w:rsid w:val="007031E8"/>
    <w:rsid w:val="007035CB"/>
    <w:rsid w:val="007039A2"/>
    <w:rsid w:val="00704B07"/>
    <w:rsid w:val="00704C88"/>
    <w:rsid w:val="00705250"/>
    <w:rsid w:val="007056E4"/>
    <w:rsid w:val="00705A0A"/>
    <w:rsid w:val="00705B88"/>
    <w:rsid w:val="00706FA1"/>
    <w:rsid w:val="007078C9"/>
    <w:rsid w:val="007079DD"/>
    <w:rsid w:val="00707DF7"/>
    <w:rsid w:val="00707E2D"/>
    <w:rsid w:val="007100A6"/>
    <w:rsid w:val="007105B3"/>
    <w:rsid w:val="007109B1"/>
    <w:rsid w:val="00710A3C"/>
    <w:rsid w:val="00711437"/>
    <w:rsid w:val="00712092"/>
    <w:rsid w:val="007125A7"/>
    <w:rsid w:val="00712A5D"/>
    <w:rsid w:val="00713516"/>
    <w:rsid w:val="0071405A"/>
    <w:rsid w:val="0071451F"/>
    <w:rsid w:val="00714CA8"/>
    <w:rsid w:val="0071515F"/>
    <w:rsid w:val="00715170"/>
    <w:rsid w:val="00715F4C"/>
    <w:rsid w:val="00715FC8"/>
    <w:rsid w:val="00716120"/>
    <w:rsid w:val="00716AEC"/>
    <w:rsid w:val="00717856"/>
    <w:rsid w:val="007208CB"/>
    <w:rsid w:val="00720CE0"/>
    <w:rsid w:val="007212BC"/>
    <w:rsid w:val="007224A0"/>
    <w:rsid w:val="00722807"/>
    <w:rsid w:val="00724B72"/>
    <w:rsid w:val="0072552B"/>
    <w:rsid w:val="00725A95"/>
    <w:rsid w:val="00725D33"/>
    <w:rsid w:val="00726475"/>
    <w:rsid w:val="00726A72"/>
    <w:rsid w:val="00727063"/>
    <w:rsid w:val="00727BEF"/>
    <w:rsid w:val="00730BA8"/>
    <w:rsid w:val="00731C7E"/>
    <w:rsid w:val="00732C07"/>
    <w:rsid w:val="00733887"/>
    <w:rsid w:val="00734E50"/>
    <w:rsid w:val="007350A5"/>
    <w:rsid w:val="007357C8"/>
    <w:rsid w:val="00736F5F"/>
    <w:rsid w:val="00737669"/>
    <w:rsid w:val="00737B50"/>
    <w:rsid w:val="007402D3"/>
    <w:rsid w:val="00740E55"/>
    <w:rsid w:val="007412BD"/>
    <w:rsid w:val="0074177A"/>
    <w:rsid w:val="007420E2"/>
    <w:rsid w:val="00742F96"/>
    <w:rsid w:val="007435B6"/>
    <w:rsid w:val="00743D6E"/>
    <w:rsid w:val="007444EC"/>
    <w:rsid w:val="007445BD"/>
    <w:rsid w:val="007446D2"/>
    <w:rsid w:val="0074470F"/>
    <w:rsid w:val="00744769"/>
    <w:rsid w:val="00744816"/>
    <w:rsid w:val="0074494A"/>
    <w:rsid w:val="007451AE"/>
    <w:rsid w:val="0074596F"/>
    <w:rsid w:val="00745BBB"/>
    <w:rsid w:val="00745BF6"/>
    <w:rsid w:val="00746392"/>
    <w:rsid w:val="00746A72"/>
    <w:rsid w:val="00746CEB"/>
    <w:rsid w:val="0074721E"/>
    <w:rsid w:val="00747959"/>
    <w:rsid w:val="007516B9"/>
    <w:rsid w:val="00751F8B"/>
    <w:rsid w:val="00751FA7"/>
    <w:rsid w:val="00752444"/>
    <w:rsid w:val="0075289C"/>
    <w:rsid w:val="00752CAB"/>
    <w:rsid w:val="007537DC"/>
    <w:rsid w:val="00753A3B"/>
    <w:rsid w:val="00753D99"/>
    <w:rsid w:val="00753DB2"/>
    <w:rsid w:val="0075457D"/>
    <w:rsid w:val="00755234"/>
    <w:rsid w:val="007552A4"/>
    <w:rsid w:val="00755451"/>
    <w:rsid w:val="00755EF4"/>
    <w:rsid w:val="0075625A"/>
    <w:rsid w:val="00756271"/>
    <w:rsid w:val="00756797"/>
    <w:rsid w:val="007573B7"/>
    <w:rsid w:val="00757995"/>
    <w:rsid w:val="00757C6E"/>
    <w:rsid w:val="0076003E"/>
    <w:rsid w:val="007603E8"/>
    <w:rsid w:val="007606B8"/>
    <w:rsid w:val="00760887"/>
    <w:rsid w:val="0076095C"/>
    <w:rsid w:val="00760A44"/>
    <w:rsid w:val="007613D1"/>
    <w:rsid w:val="0076161A"/>
    <w:rsid w:val="007616CD"/>
    <w:rsid w:val="00762325"/>
    <w:rsid w:val="0076361C"/>
    <w:rsid w:val="00763922"/>
    <w:rsid w:val="00763BE8"/>
    <w:rsid w:val="00763CA9"/>
    <w:rsid w:val="007640A2"/>
    <w:rsid w:val="0076462F"/>
    <w:rsid w:val="00764FE1"/>
    <w:rsid w:val="00765423"/>
    <w:rsid w:val="00766514"/>
    <w:rsid w:val="00767452"/>
    <w:rsid w:val="0076784D"/>
    <w:rsid w:val="00767C92"/>
    <w:rsid w:val="007703EB"/>
    <w:rsid w:val="0077086C"/>
    <w:rsid w:val="00771D8A"/>
    <w:rsid w:val="0077273B"/>
    <w:rsid w:val="007736CE"/>
    <w:rsid w:val="00773AB7"/>
    <w:rsid w:val="00773B8D"/>
    <w:rsid w:val="0077520E"/>
    <w:rsid w:val="00775DBD"/>
    <w:rsid w:val="00776496"/>
    <w:rsid w:val="00777927"/>
    <w:rsid w:val="007802E4"/>
    <w:rsid w:val="0078088D"/>
    <w:rsid w:val="00780B9E"/>
    <w:rsid w:val="00780C92"/>
    <w:rsid w:val="00781176"/>
    <w:rsid w:val="00781687"/>
    <w:rsid w:val="00781B4C"/>
    <w:rsid w:val="00781E92"/>
    <w:rsid w:val="0078248A"/>
    <w:rsid w:val="007827CC"/>
    <w:rsid w:val="00782B41"/>
    <w:rsid w:val="00782E3E"/>
    <w:rsid w:val="00783809"/>
    <w:rsid w:val="00784384"/>
    <w:rsid w:val="00784DD0"/>
    <w:rsid w:val="007857A5"/>
    <w:rsid w:val="00785CE3"/>
    <w:rsid w:val="00785F84"/>
    <w:rsid w:val="00785FC3"/>
    <w:rsid w:val="00786F47"/>
    <w:rsid w:val="00787971"/>
    <w:rsid w:val="00790819"/>
    <w:rsid w:val="00791C8F"/>
    <w:rsid w:val="00792020"/>
    <w:rsid w:val="0079245E"/>
    <w:rsid w:val="00792CEC"/>
    <w:rsid w:val="007932C4"/>
    <w:rsid w:val="00793635"/>
    <w:rsid w:val="00793DD3"/>
    <w:rsid w:val="007943C7"/>
    <w:rsid w:val="00794990"/>
    <w:rsid w:val="00794B87"/>
    <w:rsid w:val="00794C3A"/>
    <w:rsid w:val="007953AF"/>
    <w:rsid w:val="00795936"/>
    <w:rsid w:val="00795B38"/>
    <w:rsid w:val="00795F86"/>
    <w:rsid w:val="00795FBB"/>
    <w:rsid w:val="00797157"/>
    <w:rsid w:val="00797849"/>
    <w:rsid w:val="007A048C"/>
    <w:rsid w:val="007A1582"/>
    <w:rsid w:val="007A186B"/>
    <w:rsid w:val="007A1929"/>
    <w:rsid w:val="007A1A54"/>
    <w:rsid w:val="007A1AD5"/>
    <w:rsid w:val="007A1DA8"/>
    <w:rsid w:val="007A2739"/>
    <w:rsid w:val="007A2F99"/>
    <w:rsid w:val="007A34F4"/>
    <w:rsid w:val="007A394A"/>
    <w:rsid w:val="007A3EED"/>
    <w:rsid w:val="007A4994"/>
    <w:rsid w:val="007A6359"/>
    <w:rsid w:val="007A6584"/>
    <w:rsid w:val="007A6FE4"/>
    <w:rsid w:val="007A7568"/>
    <w:rsid w:val="007A763B"/>
    <w:rsid w:val="007B158D"/>
    <w:rsid w:val="007B169E"/>
    <w:rsid w:val="007B23D5"/>
    <w:rsid w:val="007B251D"/>
    <w:rsid w:val="007B2923"/>
    <w:rsid w:val="007B315F"/>
    <w:rsid w:val="007B4228"/>
    <w:rsid w:val="007B4B8E"/>
    <w:rsid w:val="007B5156"/>
    <w:rsid w:val="007B5B9D"/>
    <w:rsid w:val="007B697E"/>
    <w:rsid w:val="007B6C80"/>
    <w:rsid w:val="007B6DC3"/>
    <w:rsid w:val="007C1006"/>
    <w:rsid w:val="007C11A7"/>
    <w:rsid w:val="007C14CF"/>
    <w:rsid w:val="007C1625"/>
    <w:rsid w:val="007C1E99"/>
    <w:rsid w:val="007C2621"/>
    <w:rsid w:val="007C26F6"/>
    <w:rsid w:val="007C27A3"/>
    <w:rsid w:val="007C2D57"/>
    <w:rsid w:val="007C3344"/>
    <w:rsid w:val="007C3F3F"/>
    <w:rsid w:val="007C477F"/>
    <w:rsid w:val="007C494E"/>
    <w:rsid w:val="007C50E3"/>
    <w:rsid w:val="007C557F"/>
    <w:rsid w:val="007C5660"/>
    <w:rsid w:val="007C6580"/>
    <w:rsid w:val="007C65FC"/>
    <w:rsid w:val="007C6ADE"/>
    <w:rsid w:val="007C712F"/>
    <w:rsid w:val="007C7AD4"/>
    <w:rsid w:val="007D0171"/>
    <w:rsid w:val="007D0298"/>
    <w:rsid w:val="007D0A09"/>
    <w:rsid w:val="007D162B"/>
    <w:rsid w:val="007D19A2"/>
    <w:rsid w:val="007D1C93"/>
    <w:rsid w:val="007D277E"/>
    <w:rsid w:val="007D3781"/>
    <w:rsid w:val="007D396D"/>
    <w:rsid w:val="007D3E00"/>
    <w:rsid w:val="007D423F"/>
    <w:rsid w:val="007D4DCB"/>
    <w:rsid w:val="007D5009"/>
    <w:rsid w:val="007D51CB"/>
    <w:rsid w:val="007D54AA"/>
    <w:rsid w:val="007D55C4"/>
    <w:rsid w:val="007D588B"/>
    <w:rsid w:val="007D7DE2"/>
    <w:rsid w:val="007E0879"/>
    <w:rsid w:val="007E2495"/>
    <w:rsid w:val="007E2DC7"/>
    <w:rsid w:val="007E35DC"/>
    <w:rsid w:val="007E3F02"/>
    <w:rsid w:val="007E4D03"/>
    <w:rsid w:val="007E4E7D"/>
    <w:rsid w:val="007E53DE"/>
    <w:rsid w:val="007E68B3"/>
    <w:rsid w:val="007E696A"/>
    <w:rsid w:val="007E6B82"/>
    <w:rsid w:val="007E70D2"/>
    <w:rsid w:val="007E7112"/>
    <w:rsid w:val="007E73B9"/>
    <w:rsid w:val="007E744D"/>
    <w:rsid w:val="007F1273"/>
    <w:rsid w:val="007F2C54"/>
    <w:rsid w:val="007F2D08"/>
    <w:rsid w:val="007F3744"/>
    <w:rsid w:val="007F3E96"/>
    <w:rsid w:val="007F46C7"/>
    <w:rsid w:val="007F4A1D"/>
    <w:rsid w:val="007F5169"/>
    <w:rsid w:val="007F5BC7"/>
    <w:rsid w:val="007F65FA"/>
    <w:rsid w:val="007F66D6"/>
    <w:rsid w:val="007F7082"/>
    <w:rsid w:val="007F76BC"/>
    <w:rsid w:val="007F7D62"/>
    <w:rsid w:val="007F7DAD"/>
    <w:rsid w:val="00800548"/>
    <w:rsid w:val="00800BBD"/>
    <w:rsid w:val="00800BE9"/>
    <w:rsid w:val="0080118B"/>
    <w:rsid w:val="008018C6"/>
    <w:rsid w:val="00801F16"/>
    <w:rsid w:val="00801F28"/>
    <w:rsid w:val="00802B60"/>
    <w:rsid w:val="00804D8D"/>
    <w:rsid w:val="00804F6B"/>
    <w:rsid w:val="008051DB"/>
    <w:rsid w:val="008059FE"/>
    <w:rsid w:val="00805AFF"/>
    <w:rsid w:val="00806026"/>
    <w:rsid w:val="0080613C"/>
    <w:rsid w:val="0080659B"/>
    <w:rsid w:val="0080660C"/>
    <w:rsid w:val="00806B0C"/>
    <w:rsid w:val="00807087"/>
    <w:rsid w:val="008070C4"/>
    <w:rsid w:val="00807E97"/>
    <w:rsid w:val="0081003C"/>
    <w:rsid w:val="00810274"/>
    <w:rsid w:val="00810857"/>
    <w:rsid w:val="008108A3"/>
    <w:rsid w:val="0081184A"/>
    <w:rsid w:val="00812D8F"/>
    <w:rsid w:val="00813E3A"/>
    <w:rsid w:val="00814097"/>
    <w:rsid w:val="0081492A"/>
    <w:rsid w:val="00814A7E"/>
    <w:rsid w:val="00815752"/>
    <w:rsid w:val="00815A23"/>
    <w:rsid w:val="00815B3B"/>
    <w:rsid w:val="00815C1C"/>
    <w:rsid w:val="008160C4"/>
    <w:rsid w:val="00816D00"/>
    <w:rsid w:val="00816E8C"/>
    <w:rsid w:val="00817629"/>
    <w:rsid w:val="00820150"/>
    <w:rsid w:val="00820525"/>
    <w:rsid w:val="00820A34"/>
    <w:rsid w:val="008211A3"/>
    <w:rsid w:val="008212B6"/>
    <w:rsid w:val="00821628"/>
    <w:rsid w:val="0082189D"/>
    <w:rsid w:val="00823469"/>
    <w:rsid w:val="00823737"/>
    <w:rsid w:val="00823C41"/>
    <w:rsid w:val="008241EA"/>
    <w:rsid w:val="0082469B"/>
    <w:rsid w:val="008247F1"/>
    <w:rsid w:val="00824D8A"/>
    <w:rsid w:val="00824E59"/>
    <w:rsid w:val="00824FB1"/>
    <w:rsid w:val="00825414"/>
    <w:rsid w:val="008256B4"/>
    <w:rsid w:val="00825C8F"/>
    <w:rsid w:val="00825E6F"/>
    <w:rsid w:val="0082633B"/>
    <w:rsid w:val="008265C3"/>
    <w:rsid w:val="0082686A"/>
    <w:rsid w:val="00826C05"/>
    <w:rsid w:val="00826C63"/>
    <w:rsid w:val="00826EA9"/>
    <w:rsid w:val="00827537"/>
    <w:rsid w:val="00827948"/>
    <w:rsid w:val="00827EA7"/>
    <w:rsid w:val="0083048D"/>
    <w:rsid w:val="00830AD2"/>
    <w:rsid w:val="008310DF"/>
    <w:rsid w:val="008315EB"/>
    <w:rsid w:val="0083164A"/>
    <w:rsid w:val="008316B1"/>
    <w:rsid w:val="00831964"/>
    <w:rsid w:val="00832272"/>
    <w:rsid w:val="008323B8"/>
    <w:rsid w:val="00832487"/>
    <w:rsid w:val="00832D6E"/>
    <w:rsid w:val="00832EAC"/>
    <w:rsid w:val="00832F9C"/>
    <w:rsid w:val="0083322B"/>
    <w:rsid w:val="008342E2"/>
    <w:rsid w:val="008343F5"/>
    <w:rsid w:val="00834D01"/>
    <w:rsid w:val="008350AD"/>
    <w:rsid w:val="00835D7E"/>
    <w:rsid w:val="00836299"/>
    <w:rsid w:val="008368E2"/>
    <w:rsid w:val="00836E4F"/>
    <w:rsid w:val="008372A2"/>
    <w:rsid w:val="008372ED"/>
    <w:rsid w:val="00837544"/>
    <w:rsid w:val="008379B3"/>
    <w:rsid w:val="008379DF"/>
    <w:rsid w:val="00837E01"/>
    <w:rsid w:val="00837EB2"/>
    <w:rsid w:val="00837EBF"/>
    <w:rsid w:val="00840C22"/>
    <w:rsid w:val="00841310"/>
    <w:rsid w:val="00841370"/>
    <w:rsid w:val="00841F34"/>
    <w:rsid w:val="00842222"/>
    <w:rsid w:val="008426A3"/>
    <w:rsid w:val="00842BA6"/>
    <w:rsid w:val="008436A8"/>
    <w:rsid w:val="0084496B"/>
    <w:rsid w:val="008453A0"/>
    <w:rsid w:val="00845605"/>
    <w:rsid w:val="008457CB"/>
    <w:rsid w:val="00845BD0"/>
    <w:rsid w:val="00845E78"/>
    <w:rsid w:val="00846116"/>
    <w:rsid w:val="00846F40"/>
    <w:rsid w:val="0084727C"/>
    <w:rsid w:val="00851550"/>
    <w:rsid w:val="00851DAF"/>
    <w:rsid w:val="00852DB2"/>
    <w:rsid w:val="00853E70"/>
    <w:rsid w:val="008542A9"/>
    <w:rsid w:val="00854F70"/>
    <w:rsid w:val="00855155"/>
    <w:rsid w:val="00855193"/>
    <w:rsid w:val="00855560"/>
    <w:rsid w:val="00855A0C"/>
    <w:rsid w:val="00855FD3"/>
    <w:rsid w:val="008560CF"/>
    <w:rsid w:val="008561AF"/>
    <w:rsid w:val="00856389"/>
    <w:rsid w:val="008564A6"/>
    <w:rsid w:val="00856563"/>
    <w:rsid w:val="00856788"/>
    <w:rsid w:val="00856A6D"/>
    <w:rsid w:val="008576BD"/>
    <w:rsid w:val="00857932"/>
    <w:rsid w:val="008607F9"/>
    <w:rsid w:val="008608A4"/>
    <w:rsid w:val="00860940"/>
    <w:rsid w:val="008609E9"/>
    <w:rsid w:val="00860F3F"/>
    <w:rsid w:val="008614DD"/>
    <w:rsid w:val="00861744"/>
    <w:rsid w:val="00861E81"/>
    <w:rsid w:val="008621D0"/>
    <w:rsid w:val="008639F5"/>
    <w:rsid w:val="0086489D"/>
    <w:rsid w:val="00864FB0"/>
    <w:rsid w:val="00865736"/>
    <w:rsid w:val="0086575A"/>
    <w:rsid w:val="00866692"/>
    <w:rsid w:val="00866E20"/>
    <w:rsid w:val="00867528"/>
    <w:rsid w:val="00867635"/>
    <w:rsid w:val="008676C7"/>
    <w:rsid w:val="00867B5C"/>
    <w:rsid w:val="008700D5"/>
    <w:rsid w:val="008708DA"/>
    <w:rsid w:val="0087098C"/>
    <w:rsid w:val="00870A68"/>
    <w:rsid w:val="00870D3B"/>
    <w:rsid w:val="00870EC8"/>
    <w:rsid w:val="008714DA"/>
    <w:rsid w:val="00871761"/>
    <w:rsid w:val="00871874"/>
    <w:rsid w:val="00871995"/>
    <w:rsid w:val="008719BC"/>
    <w:rsid w:val="008728D7"/>
    <w:rsid w:val="008738F5"/>
    <w:rsid w:val="00873EA2"/>
    <w:rsid w:val="008744E4"/>
    <w:rsid w:val="00874781"/>
    <w:rsid w:val="00874BBD"/>
    <w:rsid w:val="00874FE6"/>
    <w:rsid w:val="008752CE"/>
    <w:rsid w:val="0087532A"/>
    <w:rsid w:val="0087562C"/>
    <w:rsid w:val="008758CF"/>
    <w:rsid w:val="00875D16"/>
    <w:rsid w:val="00877009"/>
    <w:rsid w:val="00880686"/>
    <w:rsid w:val="008818B1"/>
    <w:rsid w:val="00882C30"/>
    <w:rsid w:val="00882FA9"/>
    <w:rsid w:val="00884431"/>
    <w:rsid w:val="00884644"/>
    <w:rsid w:val="0088492D"/>
    <w:rsid w:val="00884AD4"/>
    <w:rsid w:val="008852AC"/>
    <w:rsid w:val="008857AE"/>
    <w:rsid w:val="00885DF1"/>
    <w:rsid w:val="00885ED0"/>
    <w:rsid w:val="008860D2"/>
    <w:rsid w:val="00886536"/>
    <w:rsid w:val="00886699"/>
    <w:rsid w:val="00887525"/>
    <w:rsid w:val="00887F1B"/>
    <w:rsid w:val="00890E8C"/>
    <w:rsid w:val="008915B9"/>
    <w:rsid w:val="00891E3B"/>
    <w:rsid w:val="0089283D"/>
    <w:rsid w:val="00892AA9"/>
    <w:rsid w:val="008932B7"/>
    <w:rsid w:val="008937E6"/>
    <w:rsid w:val="00893F64"/>
    <w:rsid w:val="008940B9"/>
    <w:rsid w:val="008944B6"/>
    <w:rsid w:val="008953C1"/>
    <w:rsid w:val="008954E8"/>
    <w:rsid w:val="00895972"/>
    <w:rsid w:val="008959DA"/>
    <w:rsid w:val="0089609F"/>
    <w:rsid w:val="00896295"/>
    <w:rsid w:val="00897CDA"/>
    <w:rsid w:val="008A078A"/>
    <w:rsid w:val="008A0FD6"/>
    <w:rsid w:val="008A2D24"/>
    <w:rsid w:val="008A4390"/>
    <w:rsid w:val="008A4CD5"/>
    <w:rsid w:val="008A5BD6"/>
    <w:rsid w:val="008A5C46"/>
    <w:rsid w:val="008A6A5B"/>
    <w:rsid w:val="008A7267"/>
    <w:rsid w:val="008A76B2"/>
    <w:rsid w:val="008A77A1"/>
    <w:rsid w:val="008A7979"/>
    <w:rsid w:val="008B0304"/>
    <w:rsid w:val="008B070E"/>
    <w:rsid w:val="008B0820"/>
    <w:rsid w:val="008B09FE"/>
    <w:rsid w:val="008B1713"/>
    <w:rsid w:val="008B31C9"/>
    <w:rsid w:val="008B328B"/>
    <w:rsid w:val="008B35B7"/>
    <w:rsid w:val="008B3741"/>
    <w:rsid w:val="008B37CE"/>
    <w:rsid w:val="008B3878"/>
    <w:rsid w:val="008B461F"/>
    <w:rsid w:val="008B472E"/>
    <w:rsid w:val="008B4A34"/>
    <w:rsid w:val="008B4E11"/>
    <w:rsid w:val="008B50C6"/>
    <w:rsid w:val="008B5FED"/>
    <w:rsid w:val="008B7978"/>
    <w:rsid w:val="008C024F"/>
    <w:rsid w:val="008C1A22"/>
    <w:rsid w:val="008C1A55"/>
    <w:rsid w:val="008C219E"/>
    <w:rsid w:val="008C23F4"/>
    <w:rsid w:val="008C2664"/>
    <w:rsid w:val="008C309A"/>
    <w:rsid w:val="008C34E0"/>
    <w:rsid w:val="008C353C"/>
    <w:rsid w:val="008C4551"/>
    <w:rsid w:val="008C46FA"/>
    <w:rsid w:val="008C4821"/>
    <w:rsid w:val="008C48A6"/>
    <w:rsid w:val="008C4CEF"/>
    <w:rsid w:val="008C63BE"/>
    <w:rsid w:val="008C689B"/>
    <w:rsid w:val="008C6D01"/>
    <w:rsid w:val="008C6D22"/>
    <w:rsid w:val="008C71CB"/>
    <w:rsid w:val="008C7D19"/>
    <w:rsid w:val="008D0C73"/>
    <w:rsid w:val="008D111C"/>
    <w:rsid w:val="008D19C9"/>
    <w:rsid w:val="008D1C4A"/>
    <w:rsid w:val="008D244A"/>
    <w:rsid w:val="008D2621"/>
    <w:rsid w:val="008D2701"/>
    <w:rsid w:val="008D2A10"/>
    <w:rsid w:val="008D3F1C"/>
    <w:rsid w:val="008D4677"/>
    <w:rsid w:val="008D592E"/>
    <w:rsid w:val="008D641E"/>
    <w:rsid w:val="008D642D"/>
    <w:rsid w:val="008D64C9"/>
    <w:rsid w:val="008D6882"/>
    <w:rsid w:val="008D6943"/>
    <w:rsid w:val="008D6F30"/>
    <w:rsid w:val="008D711A"/>
    <w:rsid w:val="008D718A"/>
    <w:rsid w:val="008D7619"/>
    <w:rsid w:val="008D769B"/>
    <w:rsid w:val="008D7AE4"/>
    <w:rsid w:val="008E003D"/>
    <w:rsid w:val="008E01A3"/>
    <w:rsid w:val="008E0B65"/>
    <w:rsid w:val="008E0C17"/>
    <w:rsid w:val="008E0D93"/>
    <w:rsid w:val="008E19A2"/>
    <w:rsid w:val="008E1B61"/>
    <w:rsid w:val="008E1FDD"/>
    <w:rsid w:val="008E3255"/>
    <w:rsid w:val="008E4C10"/>
    <w:rsid w:val="008E5DA6"/>
    <w:rsid w:val="008E5F94"/>
    <w:rsid w:val="008E608B"/>
    <w:rsid w:val="008E673B"/>
    <w:rsid w:val="008E69F3"/>
    <w:rsid w:val="008E6ECA"/>
    <w:rsid w:val="008E7190"/>
    <w:rsid w:val="008E7621"/>
    <w:rsid w:val="008E7CEA"/>
    <w:rsid w:val="008E7F3F"/>
    <w:rsid w:val="008F00D7"/>
    <w:rsid w:val="008F033B"/>
    <w:rsid w:val="008F06F5"/>
    <w:rsid w:val="008F078A"/>
    <w:rsid w:val="008F112F"/>
    <w:rsid w:val="008F14C5"/>
    <w:rsid w:val="008F2165"/>
    <w:rsid w:val="008F24E1"/>
    <w:rsid w:val="008F2924"/>
    <w:rsid w:val="008F2BA1"/>
    <w:rsid w:val="008F30AA"/>
    <w:rsid w:val="008F3AD2"/>
    <w:rsid w:val="008F3D06"/>
    <w:rsid w:val="008F3D35"/>
    <w:rsid w:val="008F5338"/>
    <w:rsid w:val="008F54B5"/>
    <w:rsid w:val="008F56DB"/>
    <w:rsid w:val="008F5E80"/>
    <w:rsid w:val="008F639B"/>
    <w:rsid w:val="008F6838"/>
    <w:rsid w:val="008F7070"/>
    <w:rsid w:val="0090024F"/>
    <w:rsid w:val="00900496"/>
    <w:rsid w:val="00900BBB"/>
    <w:rsid w:val="00901AA5"/>
    <w:rsid w:val="00902398"/>
    <w:rsid w:val="0090315A"/>
    <w:rsid w:val="00903520"/>
    <w:rsid w:val="00903D32"/>
    <w:rsid w:val="00903EEA"/>
    <w:rsid w:val="00904095"/>
    <w:rsid w:val="00904178"/>
    <w:rsid w:val="00904469"/>
    <w:rsid w:val="0090539D"/>
    <w:rsid w:val="0090540B"/>
    <w:rsid w:val="00905A1B"/>
    <w:rsid w:val="00905E4F"/>
    <w:rsid w:val="00910D18"/>
    <w:rsid w:val="0091114C"/>
    <w:rsid w:val="009111CC"/>
    <w:rsid w:val="009116A1"/>
    <w:rsid w:val="00911E94"/>
    <w:rsid w:val="00913211"/>
    <w:rsid w:val="009134F9"/>
    <w:rsid w:val="00913706"/>
    <w:rsid w:val="009137E5"/>
    <w:rsid w:val="00914688"/>
    <w:rsid w:val="009147A3"/>
    <w:rsid w:val="00914B85"/>
    <w:rsid w:val="009151C9"/>
    <w:rsid w:val="00916819"/>
    <w:rsid w:val="00916FED"/>
    <w:rsid w:val="00917883"/>
    <w:rsid w:val="00920088"/>
    <w:rsid w:val="00920126"/>
    <w:rsid w:val="00920461"/>
    <w:rsid w:val="00920B8F"/>
    <w:rsid w:val="00921407"/>
    <w:rsid w:val="009216E2"/>
    <w:rsid w:val="00921888"/>
    <w:rsid w:val="00921F73"/>
    <w:rsid w:val="00922563"/>
    <w:rsid w:val="00922E89"/>
    <w:rsid w:val="00923C41"/>
    <w:rsid w:val="00923C48"/>
    <w:rsid w:val="0092417B"/>
    <w:rsid w:val="009246B7"/>
    <w:rsid w:val="00924994"/>
    <w:rsid w:val="00924C03"/>
    <w:rsid w:val="00924D1E"/>
    <w:rsid w:val="009253C2"/>
    <w:rsid w:val="009257B3"/>
    <w:rsid w:val="0092670B"/>
    <w:rsid w:val="00926828"/>
    <w:rsid w:val="00926D17"/>
    <w:rsid w:val="00927173"/>
    <w:rsid w:val="00927572"/>
    <w:rsid w:val="009301F5"/>
    <w:rsid w:val="009315A8"/>
    <w:rsid w:val="009318D8"/>
    <w:rsid w:val="00931A76"/>
    <w:rsid w:val="0093209E"/>
    <w:rsid w:val="0093241C"/>
    <w:rsid w:val="00932715"/>
    <w:rsid w:val="0093300C"/>
    <w:rsid w:val="00933288"/>
    <w:rsid w:val="00933905"/>
    <w:rsid w:val="00934B3F"/>
    <w:rsid w:val="009354B1"/>
    <w:rsid w:val="0093574C"/>
    <w:rsid w:val="00935EC1"/>
    <w:rsid w:val="009360D2"/>
    <w:rsid w:val="0093660F"/>
    <w:rsid w:val="00936816"/>
    <w:rsid w:val="009375DC"/>
    <w:rsid w:val="009379A6"/>
    <w:rsid w:val="00937C55"/>
    <w:rsid w:val="00937E70"/>
    <w:rsid w:val="00940538"/>
    <w:rsid w:val="00940AC7"/>
    <w:rsid w:val="00940E12"/>
    <w:rsid w:val="00941025"/>
    <w:rsid w:val="00941F16"/>
    <w:rsid w:val="00942D7C"/>
    <w:rsid w:val="009436B4"/>
    <w:rsid w:val="009436C3"/>
    <w:rsid w:val="0094457F"/>
    <w:rsid w:val="00944737"/>
    <w:rsid w:val="0094504D"/>
    <w:rsid w:val="00945360"/>
    <w:rsid w:val="00946115"/>
    <w:rsid w:val="00947A40"/>
    <w:rsid w:val="009503BA"/>
    <w:rsid w:val="00950D4C"/>
    <w:rsid w:val="00951858"/>
    <w:rsid w:val="00952BD5"/>
    <w:rsid w:val="00952BDC"/>
    <w:rsid w:val="0095354A"/>
    <w:rsid w:val="00953750"/>
    <w:rsid w:val="00953B8A"/>
    <w:rsid w:val="00953ECA"/>
    <w:rsid w:val="00954146"/>
    <w:rsid w:val="0095431B"/>
    <w:rsid w:val="00955153"/>
    <w:rsid w:val="00955551"/>
    <w:rsid w:val="009556AF"/>
    <w:rsid w:val="0095571F"/>
    <w:rsid w:val="00955D6B"/>
    <w:rsid w:val="009567E0"/>
    <w:rsid w:val="0095779B"/>
    <w:rsid w:val="0096119A"/>
    <w:rsid w:val="00962C74"/>
    <w:rsid w:val="009636A9"/>
    <w:rsid w:val="00963D84"/>
    <w:rsid w:val="00963E98"/>
    <w:rsid w:val="009647CF"/>
    <w:rsid w:val="00964E0F"/>
    <w:rsid w:val="00965482"/>
    <w:rsid w:val="00965EEA"/>
    <w:rsid w:val="009662C6"/>
    <w:rsid w:val="009676B1"/>
    <w:rsid w:val="00967E52"/>
    <w:rsid w:val="00967FD9"/>
    <w:rsid w:val="009720E3"/>
    <w:rsid w:val="009724DD"/>
    <w:rsid w:val="009727CE"/>
    <w:rsid w:val="0097299B"/>
    <w:rsid w:val="009737AB"/>
    <w:rsid w:val="00973A44"/>
    <w:rsid w:val="00973DCD"/>
    <w:rsid w:val="009753CD"/>
    <w:rsid w:val="00975B09"/>
    <w:rsid w:val="00975D35"/>
    <w:rsid w:val="009763EC"/>
    <w:rsid w:val="00976833"/>
    <w:rsid w:val="00976E1A"/>
    <w:rsid w:val="00977074"/>
    <w:rsid w:val="00977546"/>
    <w:rsid w:val="009776C8"/>
    <w:rsid w:val="00980359"/>
    <w:rsid w:val="009804CB"/>
    <w:rsid w:val="00980793"/>
    <w:rsid w:val="009807E7"/>
    <w:rsid w:val="00980B58"/>
    <w:rsid w:val="00980C98"/>
    <w:rsid w:val="00981CED"/>
    <w:rsid w:val="00981E9E"/>
    <w:rsid w:val="00982735"/>
    <w:rsid w:val="00982AE5"/>
    <w:rsid w:val="00982BF8"/>
    <w:rsid w:val="0098346A"/>
    <w:rsid w:val="00983E58"/>
    <w:rsid w:val="00983EB1"/>
    <w:rsid w:val="00984632"/>
    <w:rsid w:val="00984931"/>
    <w:rsid w:val="00984DF4"/>
    <w:rsid w:val="00985B37"/>
    <w:rsid w:val="00986395"/>
    <w:rsid w:val="0099006A"/>
    <w:rsid w:val="009906BA"/>
    <w:rsid w:val="00990A29"/>
    <w:rsid w:val="00990D5C"/>
    <w:rsid w:val="009911EB"/>
    <w:rsid w:val="009917F2"/>
    <w:rsid w:val="00991CFD"/>
    <w:rsid w:val="00991D35"/>
    <w:rsid w:val="00991DFC"/>
    <w:rsid w:val="00993041"/>
    <w:rsid w:val="00994B9C"/>
    <w:rsid w:val="0099540C"/>
    <w:rsid w:val="00995477"/>
    <w:rsid w:val="00995C18"/>
    <w:rsid w:val="00995C35"/>
    <w:rsid w:val="00996E04"/>
    <w:rsid w:val="009A17AA"/>
    <w:rsid w:val="009A1F5A"/>
    <w:rsid w:val="009A285F"/>
    <w:rsid w:val="009A286B"/>
    <w:rsid w:val="009A2FC1"/>
    <w:rsid w:val="009A31C9"/>
    <w:rsid w:val="009A3344"/>
    <w:rsid w:val="009A37F0"/>
    <w:rsid w:val="009A3B93"/>
    <w:rsid w:val="009A4255"/>
    <w:rsid w:val="009A4ADC"/>
    <w:rsid w:val="009A509A"/>
    <w:rsid w:val="009A585B"/>
    <w:rsid w:val="009A6248"/>
    <w:rsid w:val="009A62AC"/>
    <w:rsid w:val="009A6D7C"/>
    <w:rsid w:val="009A6F6B"/>
    <w:rsid w:val="009A71F7"/>
    <w:rsid w:val="009A77C8"/>
    <w:rsid w:val="009B015F"/>
    <w:rsid w:val="009B0224"/>
    <w:rsid w:val="009B1152"/>
    <w:rsid w:val="009B2D8D"/>
    <w:rsid w:val="009B2E5C"/>
    <w:rsid w:val="009B320F"/>
    <w:rsid w:val="009B3A84"/>
    <w:rsid w:val="009B3D92"/>
    <w:rsid w:val="009B3FA6"/>
    <w:rsid w:val="009B4413"/>
    <w:rsid w:val="009B4AB8"/>
    <w:rsid w:val="009B4C13"/>
    <w:rsid w:val="009B4F98"/>
    <w:rsid w:val="009B5683"/>
    <w:rsid w:val="009B5ED7"/>
    <w:rsid w:val="009B6311"/>
    <w:rsid w:val="009B657A"/>
    <w:rsid w:val="009B7483"/>
    <w:rsid w:val="009B76B2"/>
    <w:rsid w:val="009B7C43"/>
    <w:rsid w:val="009B7DF2"/>
    <w:rsid w:val="009C0321"/>
    <w:rsid w:val="009C0681"/>
    <w:rsid w:val="009C0CE0"/>
    <w:rsid w:val="009C0DD5"/>
    <w:rsid w:val="009C1D30"/>
    <w:rsid w:val="009C22DC"/>
    <w:rsid w:val="009C2454"/>
    <w:rsid w:val="009C2FE8"/>
    <w:rsid w:val="009C3236"/>
    <w:rsid w:val="009C328C"/>
    <w:rsid w:val="009C35A4"/>
    <w:rsid w:val="009C39F8"/>
    <w:rsid w:val="009C429B"/>
    <w:rsid w:val="009C5CBC"/>
    <w:rsid w:val="009C61AD"/>
    <w:rsid w:val="009C66F0"/>
    <w:rsid w:val="009C706A"/>
    <w:rsid w:val="009C70FF"/>
    <w:rsid w:val="009C74A2"/>
    <w:rsid w:val="009D0F09"/>
    <w:rsid w:val="009D1601"/>
    <w:rsid w:val="009D2298"/>
    <w:rsid w:val="009D27F5"/>
    <w:rsid w:val="009D2980"/>
    <w:rsid w:val="009D308B"/>
    <w:rsid w:val="009D3171"/>
    <w:rsid w:val="009D3699"/>
    <w:rsid w:val="009D47FF"/>
    <w:rsid w:val="009D4F2A"/>
    <w:rsid w:val="009D53FA"/>
    <w:rsid w:val="009D54D1"/>
    <w:rsid w:val="009D593E"/>
    <w:rsid w:val="009D5FFB"/>
    <w:rsid w:val="009D6A87"/>
    <w:rsid w:val="009D6C75"/>
    <w:rsid w:val="009D71E7"/>
    <w:rsid w:val="009D73D1"/>
    <w:rsid w:val="009E0631"/>
    <w:rsid w:val="009E12B4"/>
    <w:rsid w:val="009E13A7"/>
    <w:rsid w:val="009E1E2F"/>
    <w:rsid w:val="009E1F06"/>
    <w:rsid w:val="009E285E"/>
    <w:rsid w:val="009E29EE"/>
    <w:rsid w:val="009E2ACE"/>
    <w:rsid w:val="009E3474"/>
    <w:rsid w:val="009E3999"/>
    <w:rsid w:val="009E3E1A"/>
    <w:rsid w:val="009E3F2D"/>
    <w:rsid w:val="009E4036"/>
    <w:rsid w:val="009E40BB"/>
    <w:rsid w:val="009E434B"/>
    <w:rsid w:val="009E4865"/>
    <w:rsid w:val="009E5630"/>
    <w:rsid w:val="009E62A9"/>
    <w:rsid w:val="009E63B1"/>
    <w:rsid w:val="009E6A6D"/>
    <w:rsid w:val="009E7E46"/>
    <w:rsid w:val="009F062E"/>
    <w:rsid w:val="009F0F3E"/>
    <w:rsid w:val="009F0FF1"/>
    <w:rsid w:val="009F123D"/>
    <w:rsid w:val="009F2C78"/>
    <w:rsid w:val="009F345C"/>
    <w:rsid w:val="009F37E8"/>
    <w:rsid w:val="009F40E2"/>
    <w:rsid w:val="009F465F"/>
    <w:rsid w:val="009F488B"/>
    <w:rsid w:val="009F4A03"/>
    <w:rsid w:val="009F5E3E"/>
    <w:rsid w:val="009F5E51"/>
    <w:rsid w:val="009F6DD9"/>
    <w:rsid w:val="009F6DDE"/>
    <w:rsid w:val="009F7B4E"/>
    <w:rsid w:val="009F7CE1"/>
    <w:rsid w:val="00A000C4"/>
    <w:rsid w:val="00A00787"/>
    <w:rsid w:val="00A00AF4"/>
    <w:rsid w:val="00A00C1D"/>
    <w:rsid w:val="00A00FCA"/>
    <w:rsid w:val="00A01C98"/>
    <w:rsid w:val="00A02D02"/>
    <w:rsid w:val="00A03844"/>
    <w:rsid w:val="00A03BEA"/>
    <w:rsid w:val="00A04333"/>
    <w:rsid w:val="00A04D63"/>
    <w:rsid w:val="00A05441"/>
    <w:rsid w:val="00A05C0E"/>
    <w:rsid w:val="00A05D4D"/>
    <w:rsid w:val="00A065FF"/>
    <w:rsid w:val="00A06ECD"/>
    <w:rsid w:val="00A07E5F"/>
    <w:rsid w:val="00A109CC"/>
    <w:rsid w:val="00A10B0C"/>
    <w:rsid w:val="00A115AC"/>
    <w:rsid w:val="00A11E9E"/>
    <w:rsid w:val="00A11EFF"/>
    <w:rsid w:val="00A120A9"/>
    <w:rsid w:val="00A124DB"/>
    <w:rsid w:val="00A12969"/>
    <w:rsid w:val="00A12E9A"/>
    <w:rsid w:val="00A1315F"/>
    <w:rsid w:val="00A132C6"/>
    <w:rsid w:val="00A1485A"/>
    <w:rsid w:val="00A14EF5"/>
    <w:rsid w:val="00A150C2"/>
    <w:rsid w:val="00A16778"/>
    <w:rsid w:val="00A1764E"/>
    <w:rsid w:val="00A176AC"/>
    <w:rsid w:val="00A206A1"/>
    <w:rsid w:val="00A206C4"/>
    <w:rsid w:val="00A20E2E"/>
    <w:rsid w:val="00A20E51"/>
    <w:rsid w:val="00A21B6D"/>
    <w:rsid w:val="00A21EAA"/>
    <w:rsid w:val="00A221E6"/>
    <w:rsid w:val="00A22C86"/>
    <w:rsid w:val="00A2321F"/>
    <w:rsid w:val="00A237AA"/>
    <w:rsid w:val="00A23E0E"/>
    <w:rsid w:val="00A240DD"/>
    <w:rsid w:val="00A241E7"/>
    <w:rsid w:val="00A24BDA"/>
    <w:rsid w:val="00A24E87"/>
    <w:rsid w:val="00A24EDE"/>
    <w:rsid w:val="00A2582C"/>
    <w:rsid w:val="00A26542"/>
    <w:rsid w:val="00A26F23"/>
    <w:rsid w:val="00A271CD"/>
    <w:rsid w:val="00A2763B"/>
    <w:rsid w:val="00A276FD"/>
    <w:rsid w:val="00A278A1"/>
    <w:rsid w:val="00A27C89"/>
    <w:rsid w:val="00A300F8"/>
    <w:rsid w:val="00A3014E"/>
    <w:rsid w:val="00A3025C"/>
    <w:rsid w:val="00A316B0"/>
    <w:rsid w:val="00A31AEC"/>
    <w:rsid w:val="00A327F2"/>
    <w:rsid w:val="00A329B2"/>
    <w:rsid w:val="00A33004"/>
    <w:rsid w:val="00A33B86"/>
    <w:rsid w:val="00A33F4C"/>
    <w:rsid w:val="00A3474F"/>
    <w:rsid w:val="00A34B8F"/>
    <w:rsid w:val="00A353A3"/>
    <w:rsid w:val="00A35AC7"/>
    <w:rsid w:val="00A35CD8"/>
    <w:rsid w:val="00A36125"/>
    <w:rsid w:val="00A366CC"/>
    <w:rsid w:val="00A379AE"/>
    <w:rsid w:val="00A37C9B"/>
    <w:rsid w:val="00A40292"/>
    <w:rsid w:val="00A405FA"/>
    <w:rsid w:val="00A409A0"/>
    <w:rsid w:val="00A40B59"/>
    <w:rsid w:val="00A41004"/>
    <w:rsid w:val="00A4167B"/>
    <w:rsid w:val="00A41DEC"/>
    <w:rsid w:val="00A41F8A"/>
    <w:rsid w:val="00A4215E"/>
    <w:rsid w:val="00A42588"/>
    <w:rsid w:val="00A42853"/>
    <w:rsid w:val="00A4289B"/>
    <w:rsid w:val="00A42D19"/>
    <w:rsid w:val="00A439B0"/>
    <w:rsid w:val="00A43B2C"/>
    <w:rsid w:val="00A43BE9"/>
    <w:rsid w:val="00A44A21"/>
    <w:rsid w:val="00A44A8F"/>
    <w:rsid w:val="00A44CAE"/>
    <w:rsid w:val="00A44FC4"/>
    <w:rsid w:val="00A45A99"/>
    <w:rsid w:val="00A46B5A"/>
    <w:rsid w:val="00A47687"/>
    <w:rsid w:val="00A478B9"/>
    <w:rsid w:val="00A47B30"/>
    <w:rsid w:val="00A47B7E"/>
    <w:rsid w:val="00A50776"/>
    <w:rsid w:val="00A50E29"/>
    <w:rsid w:val="00A519AE"/>
    <w:rsid w:val="00A51C3A"/>
    <w:rsid w:val="00A524CE"/>
    <w:rsid w:val="00A52A44"/>
    <w:rsid w:val="00A52AB5"/>
    <w:rsid w:val="00A532D9"/>
    <w:rsid w:val="00A55081"/>
    <w:rsid w:val="00A55514"/>
    <w:rsid w:val="00A5552B"/>
    <w:rsid w:val="00A556D7"/>
    <w:rsid w:val="00A55A1C"/>
    <w:rsid w:val="00A55EDE"/>
    <w:rsid w:val="00A5628C"/>
    <w:rsid w:val="00A56427"/>
    <w:rsid w:val="00A569B5"/>
    <w:rsid w:val="00A56DC6"/>
    <w:rsid w:val="00A5763C"/>
    <w:rsid w:val="00A57779"/>
    <w:rsid w:val="00A579B2"/>
    <w:rsid w:val="00A6021C"/>
    <w:rsid w:val="00A6032E"/>
    <w:rsid w:val="00A60C92"/>
    <w:rsid w:val="00A6135A"/>
    <w:rsid w:val="00A61634"/>
    <w:rsid w:val="00A629B6"/>
    <w:rsid w:val="00A631BA"/>
    <w:rsid w:val="00A63603"/>
    <w:rsid w:val="00A63777"/>
    <w:rsid w:val="00A63F80"/>
    <w:rsid w:val="00A6438C"/>
    <w:rsid w:val="00A6479C"/>
    <w:rsid w:val="00A64DCD"/>
    <w:rsid w:val="00A65695"/>
    <w:rsid w:val="00A65D0B"/>
    <w:rsid w:val="00A65D2E"/>
    <w:rsid w:val="00A65E40"/>
    <w:rsid w:val="00A661BF"/>
    <w:rsid w:val="00A66452"/>
    <w:rsid w:val="00A66969"/>
    <w:rsid w:val="00A675F8"/>
    <w:rsid w:val="00A6789B"/>
    <w:rsid w:val="00A707E8"/>
    <w:rsid w:val="00A7086E"/>
    <w:rsid w:val="00A71283"/>
    <w:rsid w:val="00A7165C"/>
    <w:rsid w:val="00A72084"/>
    <w:rsid w:val="00A72173"/>
    <w:rsid w:val="00A7244B"/>
    <w:rsid w:val="00A72A45"/>
    <w:rsid w:val="00A72F5D"/>
    <w:rsid w:val="00A7327A"/>
    <w:rsid w:val="00A7355F"/>
    <w:rsid w:val="00A739D6"/>
    <w:rsid w:val="00A74033"/>
    <w:rsid w:val="00A743B0"/>
    <w:rsid w:val="00A749B9"/>
    <w:rsid w:val="00A75102"/>
    <w:rsid w:val="00A75473"/>
    <w:rsid w:val="00A75798"/>
    <w:rsid w:val="00A75A55"/>
    <w:rsid w:val="00A75AF5"/>
    <w:rsid w:val="00A75B8C"/>
    <w:rsid w:val="00A76D4A"/>
    <w:rsid w:val="00A77211"/>
    <w:rsid w:val="00A77BE2"/>
    <w:rsid w:val="00A77D57"/>
    <w:rsid w:val="00A8052B"/>
    <w:rsid w:val="00A80557"/>
    <w:rsid w:val="00A8097C"/>
    <w:rsid w:val="00A8108D"/>
    <w:rsid w:val="00A82094"/>
    <w:rsid w:val="00A82584"/>
    <w:rsid w:val="00A8270B"/>
    <w:rsid w:val="00A82E5E"/>
    <w:rsid w:val="00A82E69"/>
    <w:rsid w:val="00A83357"/>
    <w:rsid w:val="00A8344F"/>
    <w:rsid w:val="00A83749"/>
    <w:rsid w:val="00A83797"/>
    <w:rsid w:val="00A83D58"/>
    <w:rsid w:val="00A84978"/>
    <w:rsid w:val="00A84BE0"/>
    <w:rsid w:val="00A854DD"/>
    <w:rsid w:val="00A85562"/>
    <w:rsid w:val="00A8613C"/>
    <w:rsid w:val="00A876B1"/>
    <w:rsid w:val="00A87DFC"/>
    <w:rsid w:val="00A87EBB"/>
    <w:rsid w:val="00A91286"/>
    <w:rsid w:val="00A916BE"/>
    <w:rsid w:val="00A918CA"/>
    <w:rsid w:val="00A91A59"/>
    <w:rsid w:val="00A91B64"/>
    <w:rsid w:val="00A91BFC"/>
    <w:rsid w:val="00A92190"/>
    <w:rsid w:val="00A922D6"/>
    <w:rsid w:val="00A9234C"/>
    <w:rsid w:val="00A924DC"/>
    <w:rsid w:val="00A92AC4"/>
    <w:rsid w:val="00A92ACD"/>
    <w:rsid w:val="00A92B87"/>
    <w:rsid w:val="00A93B72"/>
    <w:rsid w:val="00A94750"/>
    <w:rsid w:val="00A94D3B"/>
    <w:rsid w:val="00A953D0"/>
    <w:rsid w:val="00A95830"/>
    <w:rsid w:val="00A95FEF"/>
    <w:rsid w:val="00A96208"/>
    <w:rsid w:val="00A96AD8"/>
    <w:rsid w:val="00A973C1"/>
    <w:rsid w:val="00A9743E"/>
    <w:rsid w:val="00A9753B"/>
    <w:rsid w:val="00A9767C"/>
    <w:rsid w:val="00A97B25"/>
    <w:rsid w:val="00AA01C5"/>
    <w:rsid w:val="00AA051C"/>
    <w:rsid w:val="00AA07CA"/>
    <w:rsid w:val="00AA0F0A"/>
    <w:rsid w:val="00AA10E0"/>
    <w:rsid w:val="00AA1DD6"/>
    <w:rsid w:val="00AA1ED0"/>
    <w:rsid w:val="00AA21F9"/>
    <w:rsid w:val="00AA22D3"/>
    <w:rsid w:val="00AA28EC"/>
    <w:rsid w:val="00AA2B4B"/>
    <w:rsid w:val="00AA2C6B"/>
    <w:rsid w:val="00AA2ED6"/>
    <w:rsid w:val="00AA3553"/>
    <w:rsid w:val="00AA35B9"/>
    <w:rsid w:val="00AA3FF3"/>
    <w:rsid w:val="00AA460E"/>
    <w:rsid w:val="00AA5727"/>
    <w:rsid w:val="00AA5F17"/>
    <w:rsid w:val="00AA70F7"/>
    <w:rsid w:val="00AA711D"/>
    <w:rsid w:val="00AA7718"/>
    <w:rsid w:val="00AA78D1"/>
    <w:rsid w:val="00AB0F32"/>
    <w:rsid w:val="00AB10DE"/>
    <w:rsid w:val="00AB2BF5"/>
    <w:rsid w:val="00AB3A5D"/>
    <w:rsid w:val="00AB4FC0"/>
    <w:rsid w:val="00AB5A0D"/>
    <w:rsid w:val="00AB5C04"/>
    <w:rsid w:val="00AB60FF"/>
    <w:rsid w:val="00AB616F"/>
    <w:rsid w:val="00AB65E8"/>
    <w:rsid w:val="00AB668E"/>
    <w:rsid w:val="00AB6A1B"/>
    <w:rsid w:val="00AB6CC2"/>
    <w:rsid w:val="00AB7AE1"/>
    <w:rsid w:val="00AB7B37"/>
    <w:rsid w:val="00AC020B"/>
    <w:rsid w:val="00AC1038"/>
    <w:rsid w:val="00AC134D"/>
    <w:rsid w:val="00AC18D8"/>
    <w:rsid w:val="00AC2C6D"/>
    <w:rsid w:val="00AC2CD2"/>
    <w:rsid w:val="00AC3FC3"/>
    <w:rsid w:val="00AC3FF7"/>
    <w:rsid w:val="00AC727B"/>
    <w:rsid w:val="00AC7501"/>
    <w:rsid w:val="00AC76F3"/>
    <w:rsid w:val="00AD0655"/>
    <w:rsid w:val="00AD0996"/>
    <w:rsid w:val="00AD226B"/>
    <w:rsid w:val="00AD2298"/>
    <w:rsid w:val="00AD265D"/>
    <w:rsid w:val="00AD336D"/>
    <w:rsid w:val="00AD3DE8"/>
    <w:rsid w:val="00AD4217"/>
    <w:rsid w:val="00AD5A29"/>
    <w:rsid w:val="00AD6338"/>
    <w:rsid w:val="00AD6974"/>
    <w:rsid w:val="00AD736D"/>
    <w:rsid w:val="00AD739F"/>
    <w:rsid w:val="00AE10E7"/>
    <w:rsid w:val="00AE15F4"/>
    <w:rsid w:val="00AE19C1"/>
    <w:rsid w:val="00AE318B"/>
    <w:rsid w:val="00AE487E"/>
    <w:rsid w:val="00AE4D87"/>
    <w:rsid w:val="00AE5D59"/>
    <w:rsid w:val="00AE6294"/>
    <w:rsid w:val="00AE6828"/>
    <w:rsid w:val="00AE6BC4"/>
    <w:rsid w:val="00AE6C3C"/>
    <w:rsid w:val="00AE7BA8"/>
    <w:rsid w:val="00AF0C33"/>
    <w:rsid w:val="00AF124C"/>
    <w:rsid w:val="00AF13CC"/>
    <w:rsid w:val="00AF177C"/>
    <w:rsid w:val="00AF218D"/>
    <w:rsid w:val="00AF3B0B"/>
    <w:rsid w:val="00AF3B18"/>
    <w:rsid w:val="00AF4202"/>
    <w:rsid w:val="00AF49C0"/>
    <w:rsid w:val="00AF4E3E"/>
    <w:rsid w:val="00AF4FCE"/>
    <w:rsid w:val="00AF50CB"/>
    <w:rsid w:val="00AF56C7"/>
    <w:rsid w:val="00AF59DF"/>
    <w:rsid w:val="00AF5E10"/>
    <w:rsid w:val="00AF62F8"/>
    <w:rsid w:val="00AF6521"/>
    <w:rsid w:val="00AF6BC2"/>
    <w:rsid w:val="00AF714F"/>
    <w:rsid w:val="00AF759F"/>
    <w:rsid w:val="00AF7E3A"/>
    <w:rsid w:val="00B00461"/>
    <w:rsid w:val="00B00872"/>
    <w:rsid w:val="00B01154"/>
    <w:rsid w:val="00B0122F"/>
    <w:rsid w:val="00B01812"/>
    <w:rsid w:val="00B0193B"/>
    <w:rsid w:val="00B02723"/>
    <w:rsid w:val="00B03A31"/>
    <w:rsid w:val="00B0439B"/>
    <w:rsid w:val="00B043FA"/>
    <w:rsid w:val="00B045E6"/>
    <w:rsid w:val="00B0494B"/>
    <w:rsid w:val="00B0494E"/>
    <w:rsid w:val="00B051F9"/>
    <w:rsid w:val="00B06661"/>
    <w:rsid w:val="00B0699E"/>
    <w:rsid w:val="00B070E5"/>
    <w:rsid w:val="00B0731A"/>
    <w:rsid w:val="00B0742E"/>
    <w:rsid w:val="00B074C3"/>
    <w:rsid w:val="00B07760"/>
    <w:rsid w:val="00B0791E"/>
    <w:rsid w:val="00B1092C"/>
    <w:rsid w:val="00B10CD6"/>
    <w:rsid w:val="00B11AAC"/>
    <w:rsid w:val="00B11B67"/>
    <w:rsid w:val="00B11DD9"/>
    <w:rsid w:val="00B123EE"/>
    <w:rsid w:val="00B12755"/>
    <w:rsid w:val="00B12F13"/>
    <w:rsid w:val="00B14447"/>
    <w:rsid w:val="00B147B9"/>
    <w:rsid w:val="00B154C4"/>
    <w:rsid w:val="00B15838"/>
    <w:rsid w:val="00B159A7"/>
    <w:rsid w:val="00B15A30"/>
    <w:rsid w:val="00B166D4"/>
    <w:rsid w:val="00B17477"/>
    <w:rsid w:val="00B174F9"/>
    <w:rsid w:val="00B17993"/>
    <w:rsid w:val="00B201CD"/>
    <w:rsid w:val="00B203AB"/>
    <w:rsid w:val="00B20AF6"/>
    <w:rsid w:val="00B20FEF"/>
    <w:rsid w:val="00B21F59"/>
    <w:rsid w:val="00B22408"/>
    <w:rsid w:val="00B2272B"/>
    <w:rsid w:val="00B22AEF"/>
    <w:rsid w:val="00B23BDA"/>
    <w:rsid w:val="00B23D3F"/>
    <w:rsid w:val="00B23E95"/>
    <w:rsid w:val="00B2557A"/>
    <w:rsid w:val="00B2558E"/>
    <w:rsid w:val="00B27956"/>
    <w:rsid w:val="00B30652"/>
    <w:rsid w:val="00B30ED4"/>
    <w:rsid w:val="00B31E4C"/>
    <w:rsid w:val="00B3243A"/>
    <w:rsid w:val="00B32EAC"/>
    <w:rsid w:val="00B330E9"/>
    <w:rsid w:val="00B3315E"/>
    <w:rsid w:val="00B33C03"/>
    <w:rsid w:val="00B3404A"/>
    <w:rsid w:val="00B347D4"/>
    <w:rsid w:val="00B34FFC"/>
    <w:rsid w:val="00B359BC"/>
    <w:rsid w:val="00B36828"/>
    <w:rsid w:val="00B3693C"/>
    <w:rsid w:val="00B37688"/>
    <w:rsid w:val="00B378BB"/>
    <w:rsid w:val="00B37FF1"/>
    <w:rsid w:val="00B405F1"/>
    <w:rsid w:val="00B40646"/>
    <w:rsid w:val="00B407D3"/>
    <w:rsid w:val="00B40C2A"/>
    <w:rsid w:val="00B40DB8"/>
    <w:rsid w:val="00B4144A"/>
    <w:rsid w:val="00B41481"/>
    <w:rsid w:val="00B41CAC"/>
    <w:rsid w:val="00B42AD7"/>
    <w:rsid w:val="00B43032"/>
    <w:rsid w:val="00B433A1"/>
    <w:rsid w:val="00B4344D"/>
    <w:rsid w:val="00B434F9"/>
    <w:rsid w:val="00B44884"/>
    <w:rsid w:val="00B44B6A"/>
    <w:rsid w:val="00B44F25"/>
    <w:rsid w:val="00B467C6"/>
    <w:rsid w:val="00B47A07"/>
    <w:rsid w:val="00B47A35"/>
    <w:rsid w:val="00B47E89"/>
    <w:rsid w:val="00B50898"/>
    <w:rsid w:val="00B5179D"/>
    <w:rsid w:val="00B521CE"/>
    <w:rsid w:val="00B5294E"/>
    <w:rsid w:val="00B52A9E"/>
    <w:rsid w:val="00B538EF"/>
    <w:rsid w:val="00B53DF3"/>
    <w:rsid w:val="00B54349"/>
    <w:rsid w:val="00B5445A"/>
    <w:rsid w:val="00B544D9"/>
    <w:rsid w:val="00B544E6"/>
    <w:rsid w:val="00B54530"/>
    <w:rsid w:val="00B54C25"/>
    <w:rsid w:val="00B55F2A"/>
    <w:rsid w:val="00B56253"/>
    <w:rsid w:val="00B5655C"/>
    <w:rsid w:val="00B56B38"/>
    <w:rsid w:val="00B56C35"/>
    <w:rsid w:val="00B56D27"/>
    <w:rsid w:val="00B56E46"/>
    <w:rsid w:val="00B56F84"/>
    <w:rsid w:val="00B57766"/>
    <w:rsid w:val="00B60CFE"/>
    <w:rsid w:val="00B60DC3"/>
    <w:rsid w:val="00B612BC"/>
    <w:rsid w:val="00B613CC"/>
    <w:rsid w:val="00B613E6"/>
    <w:rsid w:val="00B61AE5"/>
    <w:rsid w:val="00B62372"/>
    <w:rsid w:val="00B626A4"/>
    <w:rsid w:val="00B631B1"/>
    <w:rsid w:val="00B63298"/>
    <w:rsid w:val="00B6350E"/>
    <w:rsid w:val="00B63FA4"/>
    <w:rsid w:val="00B64781"/>
    <w:rsid w:val="00B648EB"/>
    <w:rsid w:val="00B65021"/>
    <w:rsid w:val="00B650D7"/>
    <w:rsid w:val="00B6564C"/>
    <w:rsid w:val="00B662D7"/>
    <w:rsid w:val="00B66469"/>
    <w:rsid w:val="00B66798"/>
    <w:rsid w:val="00B667F7"/>
    <w:rsid w:val="00B6712F"/>
    <w:rsid w:val="00B70156"/>
    <w:rsid w:val="00B705C1"/>
    <w:rsid w:val="00B71343"/>
    <w:rsid w:val="00B714FF"/>
    <w:rsid w:val="00B71C88"/>
    <w:rsid w:val="00B71D41"/>
    <w:rsid w:val="00B72BD4"/>
    <w:rsid w:val="00B72EE9"/>
    <w:rsid w:val="00B737B1"/>
    <w:rsid w:val="00B7397C"/>
    <w:rsid w:val="00B743FC"/>
    <w:rsid w:val="00B74BB9"/>
    <w:rsid w:val="00B7522F"/>
    <w:rsid w:val="00B753BC"/>
    <w:rsid w:val="00B756E1"/>
    <w:rsid w:val="00B76AF2"/>
    <w:rsid w:val="00B77903"/>
    <w:rsid w:val="00B8055E"/>
    <w:rsid w:val="00B80A44"/>
    <w:rsid w:val="00B80FAF"/>
    <w:rsid w:val="00B81373"/>
    <w:rsid w:val="00B81E3B"/>
    <w:rsid w:val="00B821B9"/>
    <w:rsid w:val="00B8272F"/>
    <w:rsid w:val="00B82D02"/>
    <w:rsid w:val="00B8376A"/>
    <w:rsid w:val="00B83E4B"/>
    <w:rsid w:val="00B84015"/>
    <w:rsid w:val="00B84156"/>
    <w:rsid w:val="00B841B8"/>
    <w:rsid w:val="00B841E8"/>
    <w:rsid w:val="00B843C6"/>
    <w:rsid w:val="00B846E1"/>
    <w:rsid w:val="00B8499C"/>
    <w:rsid w:val="00B84ECC"/>
    <w:rsid w:val="00B863C7"/>
    <w:rsid w:val="00B87F61"/>
    <w:rsid w:val="00B90364"/>
    <w:rsid w:val="00B93125"/>
    <w:rsid w:val="00B9333A"/>
    <w:rsid w:val="00B93B92"/>
    <w:rsid w:val="00B94A1F"/>
    <w:rsid w:val="00B953DF"/>
    <w:rsid w:val="00B962FD"/>
    <w:rsid w:val="00B9693A"/>
    <w:rsid w:val="00B96B99"/>
    <w:rsid w:val="00B96C27"/>
    <w:rsid w:val="00B97B4C"/>
    <w:rsid w:val="00B97EBD"/>
    <w:rsid w:val="00BA0740"/>
    <w:rsid w:val="00BA0D11"/>
    <w:rsid w:val="00BA0D31"/>
    <w:rsid w:val="00BA1AAD"/>
    <w:rsid w:val="00BA1DA3"/>
    <w:rsid w:val="00BA241C"/>
    <w:rsid w:val="00BA299E"/>
    <w:rsid w:val="00BA2E96"/>
    <w:rsid w:val="00BA3FDA"/>
    <w:rsid w:val="00BA45D9"/>
    <w:rsid w:val="00BA4715"/>
    <w:rsid w:val="00BA528F"/>
    <w:rsid w:val="00BA576E"/>
    <w:rsid w:val="00BA59D9"/>
    <w:rsid w:val="00BA5A15"/>
    <w:rsid w:val="00BA5E45"/>
    <w:rsid w:val="00BA6BA8"/>
    <w:rsid w:val="00BA6CA4"/>
    <w:rsid w:val="00BA7DB6"/>
    <w:rsid w:val="00BB0E0B"/>
    <w:rsid w:val="00BB128B"/>
    <w:rsid w:val="00BB1316"/>
    <w:rsid w:val="00BB17A0"/>
    <w:rsid w:val="00BB1AA4"/>
    <w:rsid w:val="00BB2011"/>
    <w:rsid w:val="00BB230A"/>
    <w:rsid w:val="00BB23DB"/>
    <w:rsid w:val="00BB3AF1"/>
    <w:rsid w:val="00BB407E"/>
    <w:rsid w:val="00BB4548"/>
    <w:rsid w:val="00BB48A4"/>
    <w:rsid w:val="00BB4DAE"/>
    <w:rsid w:val="00BB51C4"/>
    <w:rsid w:val="00BB52BA"/>
    <w:rsid w:val="00BB5455"/>
    <w:rsid w:val="00BB554C"/>
    <w:rsid w:val="00BB55BF"/>
    <w:rsid w:val="00BB5763"/>
    <w:rsid w:val="00BB641F"/>
    <w:rsid w:val="00BB6BA9"/>
    <w:rsid w:val="00BB6D51"/>
    <w:rsid w:val="00BB71DA"/>
    <w:rsid w:val="00BB7D12"/>
    <w:rsid w:val="00BB7F1B"/>
    <w:rsid w:val="00BC005E"/>
    <w:rsid w:val="00BC0219"/>
    <w:rsid w:val="00BC09CD"/>
    <w:rsid w:val="00BC2E1B"/>
    <w:rsid w:val="00BC3475"/>
    <w:rsid w:val="00BC3CE0"/>
    <w:rsid w:val="00BC4A0A"/>
    <w:rsid w:val="00BC4B80"/>
    <w:rsid w:val="00BC4BBA"/>
    <w:rsid w:val="00BC4E65"/>
    <w:rsid w:val="00BC524C"/>
    <w:rsid w:val="00BC5604"/>
    <w:rsid w:val="00BC624F"/>
    <w:rsid w:val="00BC646C"/>
    <w:rsid w:val="00BC6A6A"/>
    <w:rsid w:val="00BC73A0"/>
    <w:rsid w:val="00BC750F"/>
    <w:rsid w:val="00BC7E7D"/>
    <w:rsid w:val="00BD04AA"/>
    <w:rsid w:val="00BD05BF"/>
    <w:rsid w:val="00BD06AF"/>
    <w:rsid w:val="00BD08E4"/>
    <w:rsid w:val="00BD131A"/>
    <w:rsid w:val="00BD1D08"/>
    <w:rsid w:val="00BD1DEF"/>
    <w:rsid w:val="00BD20AC"/>
    <w:rsid w:val="00BD20D0"/>
    <w:rsid w:val="00BD21EE"/>
    <w:rsid w:val="00BD2AC4"/>
    <w:rsid w:val="00BD2CDA"/>
    <w:rsid w:val="00BD2DE4"/>
    <w:rsid w:val="00BD30E5"/>
    <w:rsid w:val="00BD3209"/>
    <w:rsid w:val="00BD37E5"/>
    <w:rsid w:val="00BD3D03"/>
    <w:rsid w:val="00BD40DC"/>
    <w:rsid w:val="00BD4BA8"/>
    <w:rsid w:val="00BD4C91"/>
    <w:rsid w:val="00BD5A7C"/>
    <w:rsid w:val="00BD5AE1"/>
    <w:rsid w:val="00BD5F73"/>
    <w:rsid w:val="00BD6338"/>
    <w:rsid w:val="00BD6436"/>
    <w:rsid w:val="00BD66C3"/>
    <w:rsid w:val="00BD6A10"/>
    <w:rsid w:val="00BD6E71"/>
    <w:rsid w:val="00BD7D7C"/>
    <w:rsid w:val="00BE04D2"/>
    <w:rsid w:val="00BE0722"/>
    <w:rsid w:val="00BE0F76"/>
    <w:rsid w:val="00BE14B0"/>
    <w:rsid w:val="00BE1891"/>
    <w:rsid w:val="00BE21B4"/>
    <w:rsid w:val="00BE337A"/>
    <w:rsid w:val="00BE526C"/>
    <w:rsid w:val="00BE5421"/>
    <w:rsid w:val="00BE607C"/>
    <w:rsid w:val="00BE655F"/>
    <w:rsid w:val="00BF071E"/>
    <w:rsid w:val="00BF0D82"/>
    <w:rsid w:val="00BF1B32"/>
    <w:rsid w:val="00BF1C41"/>
    <w:rsid w:val="00BF1E03"/>
    <w:rsid w:val="00BF294B"/>
    <w:rsid w:val="00BF2C91"/>
    <w:rsid w:val="00BF2ECC"/>
    <w:rsid w:val="00BF30F8"/>
    <w:rsid w:val="00BF3121"/>
    <w:rsid w:val="00BF584F"/>
    <w:rsid w:val="00BF5900"/>
    <w:rsid w:val="00BF5D16"/>
    <w:rsid w:val="00BF6B0B"/>
    <w:rsid w:val="00BF7531"/>
    <w:rsid w:val="00BF7780"/>
    <w:rsid w:val="00BF7991"/>
    <w:rsid w:val="00C00076"/>
    <w:rsid w:val="00C01A59"/>
    <w:rsid w:val="00C02678"/>
    <w:rsid w:val="00C0272D"/>
    <w:rsid w:val="00C030F8"/>
    <w:rsid w:val="00C03143"/>
    <w:rsid w:val="00C05512"/>
    <w:rsid w:val="00C0569E"/>
    <w:rsid w:val="00C0595D"/>
    <w:rsid w:val="00C05C7C"/>
    <w:rsid w:val="00C06FD1"/>
    <w:rsid w:val="00C078EE"/>
    <w:rsid w:val="00C103E8"/>
    <w:rsid w:val="00C10786"/>
    <w:rsid w:val="00C1119B"/>
    <w:rsid w:val="00C11538"/>
    <w:rsid w:val="00C1177D"/>
    <w:rsid w:val="00C12172"/>
    <w:rsid w:val="00C126EB"/>
    <w:rsid w:val="00C12FEF"/>
    <w:rsid w:val="00C1397C"/>
    <w:rsid w:val="00C13D6C"/>
    <w:rsid w:val="00C140F0"/>
    <w:rsid w:val="00C14D57"/>
    <w:rsid w:val="00C15836"/>
    <w:rsid w:val="00C16A19"/>
    <w:rsid w:val="00C16B3B"/>
    <w:rsid w:val="00C16F00"/>
    <w:rsid w:val="00C179DC"/>
    <w:rsid w:val="00C2058D"/>
    <w:rsid w:val="00C214EE"/>
    <w:rsid w:val="00C21918"/>
    <w:rsid w:val="00C21D7A"/>
    <w:rsid w:val="00C21E1D"/>
    <w:rsid w:val="00C22A41"/>
    <w:rsid w:val="00C264D5"/>
    <w:rsid w:val="00C26925"/>
    <w:rsid w:val="00C26CB5"/>
    <w:rsid w:val="00C2739C"/>
    <w:rsid w:val="00C2760A"/>
    <w:rsid w:val="00C31DCB"/>
    <w:rsid w:val="00C32CEF"/>
    <w:rsid w:val="00C33025"/>
    <w:rsid w:val="00C34068"/>
    <w:rsid w:val="00C3439E"/>
    <w:rsid w:val="00C34599"/>
    <w:rsid w:val="00C345B7"/>
    <w:rsid w:val="00C34E84"/>
    <w:rsid w:val="00C35A95"/>
    <w:rsid w:val="00C36086"/>
    <w:rsid w:val="00C365FA"/>
    <w:rsid w:val="00C36C24"/>
    <w:rsid w:val="00C36C71"/>
    <w:rsid w:val="00C37064"/>
    <w:rsid w:val="00C372BB"/>
    <w:rsid w:val="00C37608"/>
    <w:rsid w:val="00C40712"/>
    <w:rsid w:val="00C40985"/>
    <w:rsid w:val="00C41CB1"/>
    <w:rsid w:val="00C42138"/>
    <w:rsid w:val="00C4264B"/>
    <w:rsid w:val="00C436C2"/>
    <w:rsid w:val="00C43D71"/>
    <w:rsid w:val="00C4447A"/>
    <w:rsid w:val="00C44E78"/>
    <w:rsid w:val="00C457EF"/>
    <w:rsid w:val="00C458A0"/>
    <w:rsid w:val="00C45E9C"/>
    <w:rsid w:val="00C460FC"/>
    <w:rsid w:val="00C47A77"/>
    <w:rsid w:val="00C47FB2"/>
    <w:rsid w:val="00C50495"/>
    <w:rsid w:val="00C5061D"/>
    <w:rsid w:val="00C508B4"/>
    <w:rsid w:val="00C509F9"/>
    <w:rsid w:val="00C50B76"/>
    <w:rsid w:val="00C50DE1"/>
    <w:rsid w:val="00C51045"/>
    <w:rsid w:val="00C515B4"/>
    <w:rsid w:val="00C518EF"/>
    <w:rsid w:val="00C522BE"/>
    <w:rsid w:val="00C52D8E"/>
    <w:rsid w:val="00C53B2F"/>
    <w:rsid w:val="00C53B56"/>
    <w:rsid w:val="00C53F3C"/>
    <w:rsid w:val="00C546F8"/>
    <w:rsid w:val="00C54996"/>
    <w:rsid w:val="00C550FE"/>
    <w:rsid w:val="00C5532D"/>
    <w:rsid w:val="00C55C24"/>
    <w:rsid w:val="00C56248"/>
    <w:rsid w:val="00C56534"/>
    <w:rsid w:val="00C56888"/>
    <w:rsid w:val="00C61239"/>
    <w:rsid w:val="00C614CD"/>
    <w:rsid w:val="00C615D6"/>
    <w:rsid w:val="00C61C5E"/>
    <w:rsid w:val="00C62E42"/>
    <w:rsid w:val="00C6327C"/>
    <w:rsid w:val="00C63401"/>
    <w:rsid w:val="00C63C57"/>
    <w:rsid w:val="00C6445E"/>
    <w:rsid w:val="00C64BEB"/>
    <w:rsid w:val="00C64CFF"/>
    <w:rsid w:val="00C654FB"/>
    <w:rsid w:val="00C6579C"/>
    <w:rsid w:val="00C66649"/>
    <w:rsid w:val="00C6709B"/>
    <w:rsid w:val="00C67795"/>
    <w:rsid w:val="00C67CDB"/>
    <w:rsid w:val="00C715DF"/>
    <w:rsid w:val="00C71ACD"/>
    <w:rsid w:val="00C722BF"/>
    <w:rsid w:val="00C7275B"/>
    <w:rsid w:val="00C72826"/>
    <w:rsid w:val="00C72E38"/>
    <w:rsid w:val="00C73A6E"/>
    <w:rsid w:val="00C73AFA"/>
    <w:rsid w:val="00C73C39"/>
    <w:rsid w:val="00C73C96"/>
    <w:rsid w:val="00C73EE2"/>
    <w:rsid w:val="00C741FC"/>
    <w:rsid w:val="00C76A3B"/>
    <w:rsid w:val="00C76F1F"/>
    <w:rsid w:val="00C77AB2"/>
    <w:rsid w:val="00C8020F"/>
    <w:rsid w:val="00C80760"/>
    <w:rsid w:val="00C809A7"/>
    <w:rsid w:val="00C81347"/>
    <w:rsid w:val="00C817AD"/>
    <w:rsid w:val="00C819BC"/>
    <w:rsid w:val="00C8264B"/>
    <w:rsid w:val="00C82DE0"/>
    <w:rsid w:val="00C82F03"/>
    <w:rsid w:val="00C83556"/>
    <w:rsid w:val="00C83A42"/>
    <w:rsid w:val="00C863AE"/>
    <w:rsid w:val="00C86733"/>
    <w:rsid w:val="00C902A6"/>
    <w:rsid w:val="00C903B9"/>
    <w:rsid w:val="00C9122F"/>
    <w:rsid w:val="00C916D7"/>
    <w:rsid w:val="00C91745"/>
    <w:rsid w:val="00C92493"/>
    <w:rsid w:val="00C92CFD"/>
    <w:rsid w:val="00C9394C"/>
    <w:rsid w:val="00C94588"/>
    <w:rsid w:val="00C946F7"/>
    <w:rsid w:val="00C95759"/>
    <w:rsid w:val="00C96114"/>
    <w:rsid w:val="00C96A94"/>
    <w:rsid w:val="00C979F1"/>
    <w:rsid w:val="00C97C92"/>
    <w:rsid w:val="00CA0210"/>
    <w:rsid w:val="00CA16FC"/>
    <w:rsid w:val="00CA30C3"/>
    <w:rsid w:val="00CA32DC"/>
    <w:rsid w:val="00CA3DE0"/>
    <w:rsid w:val="00CA508F"/>
    <w:rsid w:val="00CA522E"/>
    <w:rsid w:val="00CA5675"/>
    <w:rsid w:val="00CA5E89"/>
    <w:rsid w:val="00CA6452"/>
    <w:rsid w:val="00CA6743"/>
    <w:rsid w:val="00CA69A1"/>
    <w:rsid w:val="00CB1B88"/>
    <w:rsid w:val="00CB1D59"/>
    <w:rsid w:val="00CB2756"/>
    <w:rsid w:val="00CB3321"/>
    <w:rsid w:val="00CB36D4"/>
    <w:rsid w:val="00CB4B56"/>
    <w:rsid w:val="00CB4BA5"/>
    <w:rsid w:val="00CB4EED"/>
    <w:rsid w:val="00CB5A3C"/>
    <w:rsid w:val="00CB5CA9"/>
    <w:rsid w:val="00CB65F3"/>
    <w:rsid w:val="00CB77A1"/>
    <w:rsid w:val="00CC0222"/>
    <w:rsid w:val="00CC099E"/>
    <w:rsid w:val="00CC0A57"/>
    <w:rsid w:val="00CC0C5D"/>
    <w:rsid w:val="00CC0CA5"/>
    <w:rsid w:val="00CC171F"/>
    <w:rsid w:val="00CC1737"/>
    <w:rsid w:val="00CC2222"/>
    <w:rsid w:val="00CC3459"/>
    <w:rsid w:val="00CC3936"/>
    <w:rsid w:val="00CC3E77"/>
    <w:rsid w:val="00CC4109"/>
    <w:rsid w:val="00CC415A"/>
    <w:rsid w:val="00CC4872"/>
    <w:rsid w:val="00CC4A82"/>
    <w:rsid w:val="00CC4C0A"/>
    <w:rsid w:val="00CC55A6"/>
    <w:rsid w:val="00CC650F"/>
    <w:rsid w:val="00CC6B5F"/>
    <w:rsid w:val="00CC6C58"/>
    <w:rsid w:val="00CC6E2F"/>
    <w:rsid w:val="00CC6EDE"/>
    <w:rsid w:val="00CC7D0C"/>
    <w:rsid w:val="00CD066F"/>
    <w:rsid w:val="00CD09E5"/>
    <w:rsid w:val="00CD13AC"/>
    <w:rsid w:val="00CD141F"/>
    <w:rsid w:val="00CD189F"/>
    <w:rsid w:val="00CD18FE"/>
    <w:rsid w:val="00CD1D73"/>
    <w:rsid w:val="00CD2382"/>
    <w:rsid w:val="00CD239F"/>
    <w:rsid w:val="00CD24A3"/>
    <w:rsid w:val="00CD2EE4"/>
    <w:rsid w:val="00CD3215"/>
    <w:rsid w:val="00CD3AA7"/>
    <w:rsid w:val="00CD4259"/>
    <w:rsid w:val="00CD4799"/>
    <w:rsid w:val="00CD4A24"/>
    <w:rsid w:val="00CD5637"/>
    <w:rsid w:val="00CD59AE"/>
    <w:rsid w:val="00CD6010"/>
    <w:rsid w:val="00CD6BC9"/>
    <w:rsid w:val="00CD7212"/>
    <w:rsid w:val="00CD72EF"/>
    <w:rsid w:val="00CD785F"/>
    <w:rsid w:val="00CE05F4"/>
    <w:rsid w:val="00CE0F1B"/>
    <w:rsid w:val="00CE16DD"/>
    <w:rsid w:val="00CE204B"/>
    <w:rsid w:val="00CE2664"/>
    <w:rsid w:val="00CE2D9A"/>
    <w:rsid w:val="00CE333B"/>
    <w:rsid w:val="00CE36A3"/>
    <w:rsid w:val="00CE36B8"/>
    <w:rsid w:val="00CE5247"/>
    <w:rsid w:val="00CE53BC"/>
    <w:rsid w:val="00CE5A50"/>
    <w:rsid w:val="00CE625B"/>
    <w:rsid w:val="00CE6A21"/>
    <w:rsid w:val="00CE6F7B"/>
    <w:rsid w:val="00CE7184"/>
    <w:rsid w:val="00CE7F32"/>
    <w:rsid w:val="00CF1642"/>
    <w:rsid w:val="00CF181B"/>
    <w:rsid w:val="00CF199B"/>
    <w:rsid w:val="00CF1E6C"/>
    <w:rsid w:val="00CF408D"/>
    <w:rsid w:val="00CF4368"/>
    <w:rsid w:val="00CF51FD"/>
    <w:rsid w:val="00CF5440"/>
    <w:rsid w:val="00CF6043"/>
    <w:rsid w:val="00CF62DC"/>
    <w:rsid w:val="00CF6479"/>
    <w:rsid w:val="00CF67E9"/>
    <w:rsid w:val="00CF7602"/>
    <w:rsid w:val="00CF7B73"/>
    <w:rsid w:val="00D007C3"/>
    <w:rsid w:val="00D02639"/>
    <w:rsid w:val="00D02B60"/>
    <w:rsid w:val="00D02CAC"/>
    <w:rsid w:val="00D02FFE"/>
    <w:rsid w:val="00D0320B"/>
    <w:rsid w:val="00D03931"/>
    <w:rsid w:val="00D03D13"/>
    <w:rsid w:val="00D0405F"/>
    <w:rsid w:val="00D047AF"/>
    <w:rsid w:val="00D05372"/>
    <w:rsid w:val="00D06D81"/>
    <w:rsid w:val="00D074FA"/>
    <w:rsid w:val="00D10B5F"/>
    <w:rsid w:val="00D10C9A"/>
    <w:rsid w:val="00D10FEC"/>
    <w:rsid w:val="00D110A3"/>
    <w:rsid w:val="00D11406"/>
    <w:rsid w:val="00D11ABD"/>
    <w:rsid w:val="00D126C0"/>
    <w:rsid w:val="00D12932"/>
    <w:rsid w:val="00D12B8C"/>
    <w:rsid w:val="00D12FAA"/>
    <w:rsid w:val="00D13C4D"/>
    <w:rsid w:val="00D13D18"/>
    <w:rsid w:val="00D147EF"/>
    <w:rsid w:val="00D15108"/>
    <w:rsid w:val="00D15AFC"/>
    <w:rsid w:val="00D15CB1"/>
    <w:rsid w:val="00D16054"/>
    <w:rsid w:val="00D16118"/>
    <w:rsid w:val="00D16AF0"/>
    <w:rsid w:val="00D17011"/>
    <w:rsid w:val="00D17244"/>
    <w:rsid w:val="00D20C9C"/>
    <w:rsid w:val="00D21BCD"/>
    <w:rsid w:val="00D22138"/>
    <w:rsid w:val="00D22637"/>
    <w:rsid w:val="00D2299B"/>
    <w:rsid w:val="00D235B8"/>
    <w:rsid w:val="00D235F8"/>
    <w:rsid w:val="00D237E7"/>
    <w:rsid w:val="00D24C4A"/>
    <w:rsid w:val="00D24CCD"/>
    <w:rsid w:val="00D24D62"/>
    <w:rsid w:val="00D25214"/>
    <w:rsid w:val="00D25262"/>
    <w:rsid w:val="00D2595A"/>
    <w:rsid w:val="00D25F9D"/>
    <w:rsid w:val="00D267CA"/>
    <w:rsid w:val="00D26ABE"/>
    <w:rsid w:val="00D26BAD"/>
    <w:rsid w:val="00D26FBA"/>
    <w:rsid w:val="00D27401"/>
    <w:rsid w:val="00D27C49"/>
    <w:rsid w:val="00D30F85"/>
    <w:rsid w:val="00D30FFB"/>
    <w:rsid w:val="00D3163F"/>
    <w:rsid w:val="00D3165C"/>
    <w:rsid w:val="00D3179B"/>
    <w:rsid w:val="00D31A78"/>
    <w:rsid w:val="00D3243A"/>
    <w:rsid w:val="00D32AB2"/>
    <w:rsid w:val="00D33193"/>
    <w:rsid w:val="00D33B37"/>
    <w:rsid w:val="00D340CF"/>
    <w:rsid w:val="00D34317"/>
    <w:rsid w:val="00D34BCF"/>
    <w:rsid w:val="00D34D7B"/>
    <w:rsid w:val="00D34E72"/>
    <w:rsid w:val="00D35214"/>
    <w:rsid w:val="00D3544E"/>
    <w:rsid w:val="00D3631D"/>
    <w:rsid w:val="00D36B78"/>
    <w:rsid w:val="00D370D3"/>
    <w:rsid w:val="00D3731A"/>
    <w:rsid w:val="00D374E0"/>
    <w:rsid w:val="00D42AAE"/>
    <w:rsid w:val="00D42DBC"/>
    <w:rsid w:val="00D436C9"/>
    <w:rsid w:val="00D44B4F"/>
    <w:rsid w:val="00D44FB6"/>
    <w:rsid w:val="00D459E8"/>
    <w:rsid w:val="00D45E10"/>
    <w:rsid w:val="00D45EA2"/>
    <w:rsid w:val="00D462E1"/>
    <w:rsid w:val="00D4640A"/>
    <w:rsid w:val="00D46615"/>
    <w:rsid w:val="00D46A36"/>
    <w:rsid w:val="00D46B65"/>
    <w:rsid w:val="00D47D3D"/>
    <w:rsid w:val="00D47EA9"/>
    <w:rsid w:val="00D50165"/>
    <w:rsid w:val="00D50208"/>
    <w:rsid w:val="00D50738"/>
    <w:rsid w:val="00D50D8F"/>
    <w:rsid w:val="00D50E33"/>
    <w:rsid w:val="00D519FE"/>
    <w:rsid w:val="00D52C06"/>
    <w:rsid w:val="00D52E71"/>
    <w:rsid w:val="00D52FCF"/>
    <w:rsid w:val="00D53200"/>
    <w:rsid w:val="00D53E9C"/>
    <w:rsid w:val="00D550C7"/>
    <w:rsid w:val="00D55235"/>
    <w:rsid w:val="00D552F2"/>
    <w:rsid w:val="00D555C6"/>
    <w:rsid w:val="00D55D99"/>
    <w:rsid w:val="00D56BDC"/>
    <w:rsid w:val="00D572A3"/>
    <w:rsid w:val="00D60144"/>
    <w:rsid w:val="00D604C5"/>
    <w:rsid w:val="00D606D2"/>
    <w:rsid w:val="00D609C0"/>
    <w:rsid w:val="00D61010"/>
    <w:rsid w:val="00D621F2"/>
    <w:rsid w:val="00D6248E"/>
    <w:rsid w:val="00D63666"/>
    <w:rsid w:val="00D6499E"/>
    <w:rsid w:val="00D64E7B"/>
    <w:rsid w:val="00D65F5A"/>
    <w:rsid w:val="00D660DB"/>
    <w:rsid w:val="00D6664D"/>
    <w:rsid w:val="00D67329"/>
    <w:rsid w:val="00D67B1E"/>
    <w:rsid w:val="00D67D1D"/>
    <w:rsid w:val="00D71553"/>
    <w:rsid w:val="00D715A0"/>
    <w:rsid w:val="00D71994"/>
    <w:rsid w:val="00D7208E"/>
    <w:rsid w:val="00D72AAC"/>
    <w:rsid w:val="00D730A9"/>
    <w:rsid w:val="00D75127"/>
    <w:rsid w:val="00D7571E"/>
    <w:rsid w:val="00D75DD6"/>
    <w:rsid w:val="00D77A2F"/>
    <w:rsid w:val="00D77A80"/>
    <w:rsid w:val="00D81136"/>
    <w:rsid w:val="00D81777"/>
    <w:rsid w:val="00D81910"/>
    <w:rsid w:val="00D81BDB"/>
    <w:rsid w:val="00D82AF1"/>
    <w:rsid w:val="00D82C04"/>
    <w:rsid w:val="00D82E1B"/>
    <w:rsid w:val="00D837F9"/>
    <w:rsid w:val="00D838BD"/>
    <w:rsid w:val="00D840AB"/>
    <w:rsid w:val="00D846C3"/>
    <w:rsid w:val="00D84D03"/>
    <w:rsid w:val="00D85FE0"/>
    <w:rsid w:val="00D86369"/>
    <w:rsid w:val="00D87366"/>
    <w:rsid w:val="00D873E8"/>
    <w:rsid w:val="00D87B2E"/>
    <w:rsid w:val="00D9004B"/>
    <w:rsid w:val="00D90191"/>
    <w:rsid w:val="00D9092A"/>
    <w:rsid w:val="00D90F19"/>
    <w:rsid w:val="00D91F55"/>
    <w:rsid w:val="00D91F7F"/>
    <w:rsid w:val="00D93548"/>
    <w:rsid w:val="00D9359F"/>
    <w:rsid w:val="00D9362F"/>
    <w:rsid w:val="00D94B5B"/>
    <w:rsid w:val="00D95131"/>
    <w:rsid w:val="00D952F9"/>
    <w:rsid w:val="00D9530E"/>
    <w:rsid w:val="00D955A3"/>
    <w:rsid w:val="00D9572B"/>
    <w:rsid w:val="00D95E16"/>
    <w:rsid w:val="00D961CF"/>
    <w:rsid w:val="00D964BD"/>
    <w:rsid w:val="00D9683A"/>
    <w:rsid w:val="00D96D8E"/>
    <w:rsid w:val="00D97124"/>
    <w:rsid w:val="00D971F2"/>
    <w:rsid w:val="00D97864"/>
    <w:rsid w:val="00D97BB0"/>
    <w:rsid w:val="00DA0753"/>
    <w:rsid w:val="00DA133F"/>
    <w:rsid w:val="00DA2080"/>
    <w:rsid w:val="00DA2630"/>
    <w:rsid w:val="00DA27A9"/>
    <w:rsid w:val="00DA2A1C"/>
    <w:rsid w:val="00DA38B6"/>
    <w:rsid w:val="00DA43A5"/>
    <w:rsid w:val="00DA4918"/>
    <w:rsid w:val="00DA4B01"/>
    <w:rsid w:val="00DA5343"/>
    <w:rsid w:val="00DA5A30"/>
    <w:rsid w:val="00DA5FAE"/>
    <w:rsid w:val="00DA708C"/>
    <w:rsid w:val="00DA7125"/>
    <w:rsid w:val="00DA76C0"/>
    <w:rsid w:val="00DA7B1F"/>
    <w:rsid w:val="00DB012B"/>
    <w:rsid w:val="00DB07D9"/>
    <w:rsid w:val="00DB08AE"/>
    <w:rsid w:val="00DB0A80"/>
    <w:rsid w:val="00DB2477"/>
    <w:rsid w:val="00DB2F02"/>
    <w:rsid w:val="00DB316D"/>
    <w:rsid w:val="00DB38D3"/>
    <w:rsid w:val="00DB3E2B"/>
    <w:rsid w:val="00DB4259"/>
    <w:rsid w:val="00DB4631"/>
    <w:rsid w:val="00DB5696"/>
    <w:rsid w:val="00DB5F1A"/>
    <w:rsid w:val="00DB6A4E"/>
    <w:rsid w:val="00DB6CA4"/>
    <w:rsid w:val="00DB6CD8"/>
    <w:rsid w:val="00DB6D82"/>
    <w:rsid w:val="00DB769E"/>
    <w:rsid w:val="00DB7DE8"/>
    <w:rsid w:val="00DC0649"/>
    <w:rsid w:val="00DC0660"/>
    <w:rsid w:val="00DC068C"/>
    <w:rsid w:val="00DC0691"/>
    <w:rsid w:val="00DC114E"/>
    <w:rsid w:val="00DC194C"/>
    <w:rsid w:val="00DC22AF"/>
    <w:rsid w:val="00DC2E60"/>
    <w:rsid w:val="00DC30D3"/>
    <w:rsid w:val="00DC43AD"/>
    <w:rsid w:val="00DC4C19"/>
    <w:rsid w:val="00DC4EC8"/>
    <w:rsid w:val="00DC5263"/>
    <w:rsid w:val="00DC5395"/>
    <w:rsid w:val="00DC63EE"/>
    <w:rsid w:val="00DC6667"/>
    <w:rsid w:val="00DC66AB"/>
    <w:rsid w:val="00DC6D20"/>
    <w:rsid w:val="00DC71ED"/>
    <w:rsid w:val="00DC7FC2"/>
    <w:rsid w:val="00DD0445"/>
    <w:rsid w:val="00DD0983"/>
    <w:rsid w:val="00DD09B8"/>
    <w:rsid w:val="00DD11E8"/>
    <w:rsid w:val="00DD1CFE"/>
    <w:rsid w:val="00DD1F1F"/>
    <w:rsid w:val="00DD22E9"/>
    <w:rsid w:val="00DD3669"/>
    <w:rsid w:val="00DD37CA"/>
    <w:rsid w:val="00DD3ECB"/>
    <w:rsid w:val="00DD46C9"/>
    <w:rsid w:val="00DD4812"/>
    <w:rsid w:val="00DD59F7"/>
    <w:rsid w:val="00DD5A38"/>
    <w:rsid w:val="00DD6C7B"/>
    <w:rsid w:val="00DD6F23"/>
    <w:rsid w:val="00DD7619"/>
    <w:rsid w:val="00DD7EB5"/>
    <w:rsid w:val="00DE03A6"/>
    <w:rsid w:val="00DE065A"/>
    <w:rsid w:val="00DE14A6"/>
    <w:rsid w:val="00DE15A1"/>
    <w:rsid w:val="00DE20D6"/>
    <w:rsid w:val="00DE21B2"/>
    <w:rsid w:val="00DE2465"/>
    <w:rsid w:val="00DE2768"/>
    <w:rsid w:val="00DE27A2"/>
    <w:rsid w:val="00DE2AA3"/>
    <w:rsid w:val="00DE2DD4"/>
    <w:rsid w:val="00DE4115"/>
    <w:rsid w:val="00DE44A5"/>
    <w:rsid w:val="00DE5724"/>
    <w:rsid w:val="00DE5E7F"/>
    <w:rsid w:val="00DE60A6"/>
    <w:rsid w:val="00DE69CB"/>
    <w:rsid w:val="00DE7938"/>
    <w:rsid w:val="00DF02E4"/>
    <w:rsid w:val="00DF0CEB"/>
    <w:rsid w:val="00DF0D76"/>
    <w:rsid w:val="00DF103B"/>
    <w:rsid w:val="00DF12EA"/>
    <w:rsid w:val="00DF14FC"/>
    <w:rsid w:val="00DF22B0"/>
    <w:rsid w:val="00DF2837"/>
    <w:rsid w:val="00DF286B"/>
    <w:rsid w:val="00DF4536"/>
    <w:rsid w:val="00DF5CE4"/>
    <w:rsid w:val="00DF5D81"/>
    <w:rsid w:val="00DF6542"/>
    <w:rsid w:val="00DF6964"/>
    <w:rsid w:val="00DF6AF9"/>
    <w:rsid w:val="00DF737F"/>
    <w:rsid w:val="00DF7573"/>
    <w:rsid w:val="00DF7F5C"/>
    <w:rsid w:val="00DF7F64"/>
    <w:rsid w:val="00E00066"/>
    <w:rsid w:val="00E006FE"/>
    <w:rsid w:val="00E01125"/>
    <w:rsid w:val="00E01AC4"/>
    <w:rsid w:val="00E01EA4"/>
    <w:rsid w:val="00E024A5"/>
    <w:rsid w:val="00E02FAF"/>
    <w:rsid w:val="00E037BC"/>
    <w:rsid w:val="00E0394A"/>
    <w:rsid w:val="00E040E6"/>
    <w:rsid w:val="00E04286"/>
    <w:rsid w:val="00E04591"/>
    <w:rsid w:val="00E04911"/>
    <w:rsid w:val="00E05074"/>
    <w:rsid w:val="00E05A97"/>
    <w:rsid w:val="00E060DD"/>
    <w:rsid w:val="00E063D0"/>
    <w:rsid w:val="00E0649B"/>
    <w:rsid w:val="00E07D17"/>
    <w:rsid w:val="00E07F73"/>
    <w:rsid w:val="00E10A36"/>
    <w:rsid w:val="00E1169C"/>
    <w:rsid w:val="00E120D7"/>
    <w:rsid w:val="00E1275A"/>
    <w:rsid w:val="00E12A73"/>
    <w:rsid w:val="00E12AA3"/>
    <w:rsid w:val="00E13111"/>
    <w:rsid w:val="00E13167"/>
    <w:rsid w:val="00E133F9"/>
    <w:rsid w:val="00E1355C"/>
    <w:rsid w:val="00E139C3"/>
    <w:rsid w:val="00E13DDD"/>
    <w:rsid w:val="00E1417D"/>
    <w:rsid w:val="00E14441"/>
    <w:rsid w:val="00E14A95"/>
    <w:rsid w:val="00E15C7A"/>
    <w:rsid w:val="00E16195"/>
    <w:rsid w:val="00E1702D"/>
    <w:rsid w:val="00E17703"/>
    <w:rsid w:val="00E17CDF"/>
    <w:rsid w:val="00E204BC"/>
    <w:rsid w:val="00E204EB"/>
    <w:rsid w:val="00E20666"/>
    <w:rsid w:val="00E20F93"/>
    <w:rsid w:val="00E2119B"/>
    <w:rsid w:val="00E21435"/>
    <w:rsid w:val="00E21874"/>
    <w:rsid w:val="00E21A7B"/>
    <w:rsid w:val="00E221E2"/>
    <w:rsid w:val="00E23FAF"/>
    <w:rsid w:val="00E246D2"/>
    <w:rsid w:val="00E24AA5"/>
    <w:rsid w:val="00E24B8E"/>
    <w:rsid w:val="00E25711"/>
    <w:rsid w:val="00E25DB2"/>
    <w:rsid w:val="00E260F8"/>
    <w:rsid w:val="00E27039"/>
    <w:rsid w:val="00E2747F"/>
    <w:rsid w:val="00E30003"/>
    <w:rsid w:val="00E3059A"/>
    <w:rsid w:val="00E30EE5"/>
    <w:rsid w:val="00E31ADD"/>
    <w:rsid w:val="00E320E5"/>
    <w:rsid w:val="00E32341"/>
    <w:rsid w:val="00E3281C"/>
    <w:rsid w:val="00E33A65"/>
    <w:rsid w:val="00E33ED0"/>
    <w:rsid w:val="00E34241"/>
    <w:rsid w:val="00E342EC"/>
    <w:rsid w:val="00E343B9"/>
    <w:rsid w:val="00E3440A"/>
    <w:rsid w:val="00E34CE5"/>
    <w:rsid w:val="00E34EB8"/>
    <w:rsid w:val="00E359E5"/>
    <w:rsid w:val="00E35E4E"/>
    <w:rsid w:val="00E361A2"/>
    <w:rsid w:val="00E3628B"/>
    <w:rsid w:val="00E367B9"/>
    <w:rsid w:val="00E36E15"/>
    <w:rsid w:val="00E374C2"/>
    <w:rsid w:val="00E37A09"/>
    <w:rsid w:val="00E37A6F"/>
    <w:rsid w:val="00E408DA"/>
    <w:rsid w:val="00E41FB2"/>
    <w:rsid w:val="00E423FB"/>
    <w:rsid w:val="00E43055"/>
    <w:rsid w:val="00E43B6D"/>
    <w:rsid w:val="00E43C1E"/>
    <w:rsid w:val="00E43C61"/>
    <w:rsid w:val="00E442D6"/>
    <w:rsid w:val="00E45378"/>
    <w:rsid w:val="00E4587E"/>
    <w:rsid w:val="00E45AF5"/>
    <w:rsid w:val="00E46713"/>
    <w:rsid w:val="00E46CD9"/>
    <w:rsid w:val="00E4716F"/>
    <w:rsid w:val="00E50116"/>
    <w:rsid w:val="00E5357C"/>
    <w:rsid w:val="00E535EF"/>
    <w:rsid w:val="00E53CE1"/>
    <w:rsid w:val="00E540BD"/>
    <w:rsid w:val="00E5518F"/>
    <w:rsid w:val="00E566E7"/>
    <w:rsid w:val="00E56A85"/>
    <w:rsid w:val="00E56B14"/>
    <w:rsid w:val="00E572C7"/>
    <w:rsid w:val="00E57D8E"/>
    <w:rsid w:val="00E60C74"/>
    <w:rsid w:val="00E60CE0"/>
    <w:rsid w:val="00E60E0F"/>
    <w:rsid w:val="00E60F14"/>
    <w:rsid w:val="00E6162F"/>
    <w:rsid w:val="00E617BF"/>
    <w:rsid w:val="00E61E21"/>
    <w:rsid w:val="00E63012"/>
    <w:rsid w:val="00E63150"/>
    <w:rsid w:val="00E632A2"/>
    <w:rsid w:val="00E63842"/>
    <w:rsid w:val="00E642BE"/>
    <w:rsid w:val="00E646E5"/>
    <w:rsid w:val="00E648E8"/>
    <w:rsid w:val="00E649CF"/>
    <w:rsid w:val="00E66BC4"/>
    <w:rsid w:val="00E66CB7"/>
    <w:rsid w:val="00E66DF3"/>
    <w:rsid w:val="00E66FD7"/>
    <w:rsid w:val="00E67BB2"/>
    <w:rsid w:val="00E7002F"/>
    <w:rsid w:val="00E700FA"/>
    <w:rsid w:val="00E7162F"/>
    <w:rsid w:val="00E716A3"/>
    <w:rsid w:val="00E7186E"/>
    <w:rsid w:val="00E71FC1"/>
    <w:rsid w:val="00E7234E"/>
    <w:rsid w:val="00E7293B"/>
    <w:rsid w:val="00E7379C"/>
    <w:rsid w:val="00E73931"/>
    <w:rsid w:val="00E73B17"/>
    <w:rsid w:val="00E73FAE"/>
    <w:rsid w:val="00E7433C"/>
    <w:rsid w:val="00E74846"/>
    <w:rsid w:val="00E7512C"/>
    <w:rsid w:val="00E7547F"/>
    <w:rsid w:val="00E7604F"/>
    <w:rsid w:val="00E771F5"/>
    <w:rsid w:val="00E7745C"/>
    <w:rsid w:val="00E7795B"/>
    <w:rsid w:val="00E77E90"/>
    <w:rsid w:val="00E80516"/>
    <w:rsid w:val="00E8084C"/>
    <w:rsid w:val="00E80FC2"/>
    <w:rsid w:val="00E81182"/>
    <w:rsid w:val="00E81BA0"/>
    <w:rsid w:val="00E81D65"/>
    <w:rsid w:val="00E81DA4"/>
    <w:rsid w:val="00E82061"/>
    <w:rsid w:val="00E82E68"/>
    <w:rsid w:val="00E83288"/>
    <w:rsid w:val="00E834AA"/>
    <w:rsid w:val="00E837A1"/>
    <w:rsid w:val="00E8459E"/>
    <w:rsid w:val="00E84B1B"/>
    <w:rsid w:val="00E86380"/>
    <w:rsid w:val="00E86FEF"/>
    <w:rsid w:val="00E87667"/>
    <w:rsid w:val="00E877B7"/>
    <w:rsid w:val="00E9005F"/>
    <w:rsid w:val="00E90C28"/>
    <w:rsid w:val="00E91A19"/>
    <w:rsid w:val="00E91D7A"/>
    <w:rsid w:val="00E91FD1"/>
    <w:rsid w:val="00E928B9"/>
    <w:rsid w:val="00E947D9"/>
    <w:rsid w:val="00E95507"/>
    <w:rsid w:val="00E95CD6"/>
    <w:rsid w:val="00E961C3"/>
    <w:rsid w:val="00E9631D"/>
    <w:rsid w:val="00E9667C"/>
    <w:rsid w:val="00E96B03"/>
    <w:rsid w:val="00E96B06"/>
    <w:rsid w:val="00E96B0B"/>
    <w:rsid w:val="00E97346"/>
    <w:rsid w:val="00EA018B"/>
    <w:rsid w:val="00EA0538"/>
    <w:rsid w:val="00EA0938"/>
    <w:rsid w:val="00EA0D40"/>
    <w:rsid w:val="00EA12E0"/>
    <w:rsid w:val="00EA19DA"/>
    <w:rsid w:val="00EA1A62"/>
    <w:rsid w:val="00EA2806"/>
    <w:rsid w:val="00EA2AC6"/>
    <w:rsid w:val="00EA2CF1"/>
    <w:rsid w:val="00EA3796"/>
    <w:rsid w:val="00EA37DB"/>
    <w:rsid w:val="00EA3887"/>
    <w:rsid w:val="00EA3CB0"/>
    <w:rsid w:val="00EA4207"/>
    <w:rsid w:val="00EA436B"/>
    <w:rsid w:val="00EA4B3E"/>
    <w:rsid w:val="00EA65BB"/>
    <w:rsid w:val="00EA6609"/>
    <w:rsid w:val="00EA6680"/>
    <w:rsid w:val="00EA66F3"/>
    <w:rsid w:val="00EA6E68"/>
    <w:rsid w:val="00EA719F"/>
    <w:rsid w:val="00EA73FD"/>
    <w:rsid w:val="00EB0074"/>
    <w:rsid w:val="00EB0464"/>
    <w:rsid w:val="00EB07C0"/>
    <w:rsid w:val="00EB086E"/>
    <w:rsid w:val="00EB09D4"/>
    <w:rsid w:val="00EB0A76"/>
    <w:rsid w:val="00EB0C50"/>
    <w:rsid w:val="00EB0E76"/>
    <w:rsid w:val="00EB0FE7"/>
    <w:rsid w:val="00EB1EDE"/>
    <w:rsid w:val="00EB1EFB"/>
    <w:rsid w:val="00EB21F8"/>
    <w:rsid w:val="00EB2B91"/>
    <w:rsid w:val="00EB350E"/>
    <w:rsid w:val="00EB3D69"/>
    <w:rsid w:val="00EB3F67"/>
    <w:rsid w:val="00EB4674"/>
    <w:rsid w:val="00EB4DB0"/>
    <w:rsid w:val="00EB5B92"/>
    <w:rsid w:val="00EB6AA4"/>
    <w:rsid w:val="00EB6C33"/>
    <w:rsid w:val="00EB6DB1"/>
    <w:rsid w:val="00EB7084"/>
    <w:rsid w:val="00EB74A9"/>
    <w:rsid w:val="00EB7645"/>
    <w:rsid w:val="00EB7901"/>
    <w:rsid w:val="00EB7905"/>
    <w:rsid w:val="00EC0FD0"/>
    <w:rsid w:val="00EC0FD1"/>
    <w:rsid w:val="00EC11F7"/>
    <w:rsid w:val="00EC2263"/>
    <w:rsid w:val="00EC2636"/>
    <w:rsid w:val="00EC2A2C"/>
    <w:rsid w:val="00EC34BA"/>
    <w:rsid w:val="00EC3CC6"/>
    <w:rsid w:val="00EC4671"/>
    <w:rsid w:val="00EC498C"/>
    <w:rsid w:val="00EC4D4A"/>
    <w:rsid w:val="00EC53B1"/>
    <w:rsid w:val="00EC590B"/>
    <w:rsid w:val="00EC606C"/>
    <w:rsid w:val="00EC622F"/>
    <w:rsid w:val="00EC7F24"/>
    <w:rsid w:val="00EC7FD2"/>
    <w:rsid w:val="00ED063A"/>
    <w:rsid w:val="00ED07BA"/>
    <w:rsid w:val="00ED0BA1"/>
    <w:rsid w:val="00ED17B5"/>
    <w:rsid w:val="00ED1EFC"/>
    <w:rsid w:val="00ED44BD"/>
    <w:rsid w:val="00ED44ED"/>
    <w:rsid w:val="00ED5284"/>
    <w:rsid w:val="00ED53D5"/>
    <w:rsid w:val="00ED5C97"/>
    <w:rsid w:val="00ED5CDA"/>
    <w:rsid w:val="00ED6788"/>
    <w:rsid w:val="00ED6D56"/>
    <w:rsid w:val="00ED70E9"/>
    <w:rsid w:val="00ED7203"/>
    <w:rsid w:val="00ED7347"/>
    <w:rsid w:val="00ED7AAE"/>
    <w:rsid w:val="00ED7CEE"/>
    <w:rsid w:val="00EE0376"/>
    <w:rsid w:val="00EE05E6"/>
    <w:rsid w:val="00EE072A"/>
    <w:rsid w:val="00EE0EDE"/>
    <w:rsid w:val="00EE145B"/>
    <w:rsid w:val="00EE18D0"/>
    <w:rsid w:val="00EE4796"/>
    <w:rsid w:val="00EE4853"/>
    <w:rsid w:val="00EE50B1"/>
    <w:rsid w:val="00EE51CA"/>
    <w:rsid w:val="00EE5369"/>
    <w:rsid w:val="00EE54A6"/>
    <w:rsid w:val="00EE54F5"/>
    <w:rsid w:val="00EE62CD"/>
    <w:rsid w:val="00EE6323"/>
    <w:rsid w:val="00EE71F8"/>
    <w:rsid w:val="00EE7666"/>
    <w:rsid w:val="00EE7EA6"/>
    <w:rsid w:val="00EF03D2"/>
    <w:rsid w:val="00EF0555"/>
    <w:rsid w:val="00EF1106"/>
    <w:rsid w:val="00EF20D2"/>
    <w:rsid w:val="00EF3403"/>
    <w:rsid w:val="00EF385F"/>
    <w:rsid w:val="00EF3B5A"/>
    <w:rsid w:val="00EF4219"/>
    <w:rsid w:val="00EF4257"/>
    <w:rsid w:val="00EF4391"/>
    <w:rsid w:val="00EF467D"/>
    <w:rsid w:val="00EF596E"/>
    <w:rsid w:val="00EF5A55"/>
    <w:rsid w:val="00EF6530"/>
    <w:rsid w:val="00EF6847"/>
    <w:rsid w:val="00EF700C"/>
    <w:rsid w:val="00EF702F"/>
    <w:rsid w:val="00EF7924"/>
    <w:rsid w:val="00F00853"/>
    <w:rsid w:val="00F0114B"/>
    <w:rsid w:val="00F012D4"/>
    <w:rsid w:val="00F0175F"/>
    <w:rsid w:val="00F0185F"/>
    <w:rsid w:val="00F01AED"/>
    <w:rsid w:val="00F01CFD"/>
    <w:rsid w:val="00F0222B"/>
    <w:rsid w:val="00F0240D"/>
    <w:rsid w:val="00F02F7B"/>
    <w:rsid w:val="00F0315D"/>
    <w:rsid w:val="00F03A51"/>
    <w:rsid w:val="00F05253"/>
    <w:rsid w:val="00F05307"/>
    <w:rsid w:val="00F0544A"/>
    <w:rsid w:val="00F05B32"/>
    <w:rsid w:val="00F062D3"/>
    <w:rsid w:val="00F06DED"/>
    <w:rsid w:val="00F06F4A"/>
    <w:rsid w:val="00F07B1E"/>
    <w:rsid w:val="00F07C2C"/>
    <w:rsid w:val="00F07C91"/>
    <w:rsid w:val="00F07EDA"/>
    <w:rsid w:val="00F103F4"/>
    <w:rsid w:val="00F10518"/>
    <w:rsid w:val="00F10992"/>
    <w:rsid w:val="00F10EBB"/>
    <w:rsid w:val="00F11753"/>
    <w:rsid w:val="00F1305C"/>
    <w:rsid w:val="00F1333B"/>
    <w:rsid w:val="00F14218"/>
    <w:rsid w:val="00F14248"/>
    <w:rsid w:val="00F148A2"/>
    <w:rsid w:val="00F14D23"/>
    <w:rsid w:val="00F15C7C"/>
    <w:rsid w:val="00F16350"/>
    <w:rsid w:val="00F16C96"/>
    <w:rsid w:val="00F16FA9"/>
    <w:rsid w:val="00F1782E"/>
    <w:rsid w:val="00F17C71"/>
    <w:rsid w:val="00F17EDC"/>
    <w:rsid w:val="00F2004D"/>
    <w:rsid w:val="00F20371"/>
    <w:rsid w:val="00F20430"/>
    <w:rsid w:val="00F211CE"/>
    <w:rsid w:val="00F21465"/>
    <w:rsid w:val="00F2185D"/>
    <w:rsid w:val="00F21DAD"/>
    <w:rsid w:val="00F22677"/>
    <w:rsid w:val="00F228D9"/>
    <w:rsid w:val="00F228EC"/>
    <w:rsid w:val="00F22BE8"/>
    <w:rsid w:val="00F231A5"/>
    <w:rsid w:val="00F2332F"/>
    <w:rsid w:val="00F23AD0"/>
    <w:rsid w:val="00F23FF8"/>
    <w:rsid w:val="00F246F5"/>
    <w:rsid w:val="00F25864"/>
    <w:rsid w:val="00F25A89"/>
    <w:rsid w:val="00F25AA5"/>
    <w:rsid w:val="00F26422"/>
    <w:rsid w:val="00F266C5"/>
    <w:rsid w:val="00F267B4"/>
    <w:rsid w:val="00F26962"/>
    <w:rsid w:val="00F26A10"/>
    <w:rsid w:val="00F26B8F"/>
    <w:rsid w:val="00F26D87"/>
    <w:rsid w:val="00F27143"/>
    <w:rsid w:val="00F277C5"/>
    <w:rsid w:val="00F27DF1"/>
    <w:rsid w:val="00F30062"/>
    <w:rsid w:val="00F3111B"/>
    <w:rsid w:val="00F322FC"/>
    <w:rsid w:val="00F323A9"/>
    <w:rsid w:val="00F33A52"/>
    <w:rsid w:val="00F34059"/>
    <w:rsid w:val="00F346A6"/>
    <w:rsid w:val="00F35268"/>
    <w:rsid w:val="00F3563C"/>
    <w:rsid w:val="00F358CB"/>
    <w:rsid w:val="00F413E2"/>
    <w:rsid w:val="00F41910"/>
    <w:rsid w:val="00F421C6"/>
    <w:rsid w:val="00F42870"/>
    <w:rsid w:val="00F42B77"/>
    <w:rsid w:val="00F434B4"/>
    <w:rsid w:val="00F441E2"/>
    <w:rsid w:val="00F4448E"/>
    <w:rsid w:val="00F467A3"/>
    <w:rsid w:val="00F46836"/>
    <w:rsid w:val="00F4755D"/>
    <w:rsid w:val="00F47A23"/>
    <w:rsid w:val="00F47EA7"/>
    <w:rsid w:val="00F47FD9"/>
    <w:rsid w:val="00F51655"/>
    <w:rsid w:val="00F51690"/>
    <w:rsid w:val="00F53FF7"/>
    <w:rsid w:val="00F54227"/>
    <w:rsid w:val="00F54B8D"/>
    <w:rsid w:val="00F550D8"/>
    <w:rsid w:val="00F558C5"/>
    <w:rsid w:val="00F56881"/>
    <w:rsid w:val="00F568C1"/>
    <w:rsid w:val="00F56C4D"/>
    <w:rsid w:val="00F5768B"/>
    <w:rsid w:val="00F57775"/>
    <w:rsid w:val="00F57901"/>
    <w:rsid w:val="00F57D29"/>
    <w:rsid w:val="00F60394"/>
    <w:rsid w:val="00F603F8"/>
    <w:rsid w:val="00F605D1"/>
    <w:rsid w:val="00F61333"/>
    <w:rsid w:val="00F61532"/>
    <w:rsid w:val="00F63B20"/>
    <w:rsid w:val="00F6475A"/>
    <w:rsid w:val="00F64E5F"/>
    <w:rsid w:val="00F65130"/>
    <w:rsid w:val="00F652FE"/>
    <w:rsid w:val="00F65CAE"/>
    <w:rsid w:val="00F65FA4"/>
    <w:rsid w:val="00F66138"/>
    <w:rsid w:val="00F66508"/>
    <w:rsid w:val="00F67B0A"/>
    <w:rsid w:val="00F67BDA"/>
    <w:rsid w:val="00F67F27"/>
    <w:rsid w:val="00F67FFC"/>
    <w:rsid w:val="00F70E33"/>
    <w:rsid w:val="00F71F8A"/>
    <w:rsid w:val="00F72A9C"/>
    <w:rsid w:val="00F72C1F"/>
    <w:rsid w:val="00F731A2"/>
    <w:rsid w:val="00F73529"/>
    <w:rsid w:val="00F7366D"/>
    <w:rsid w:val="00F73994"/>
    <w:rsid w:val="00F74304"/>
    <w:rsid w:val="00F74B3D"/>
    <w:rsid w:val="00F74C51"/>
    <w:rsid w:val="00F74E28"/>
    <w:rsid w:val="00F74E89"/>
    <w:rsid w:val="00F75724"/>
    <w:rsid w:val="00F75C72"/>
    <w:rsid w:val="00F75E94"/>
    <w:rsid w:val="00F76175"/>
    <w:rsid w:val="00F761C8"/>
    <w:rsid w:val="00F76257"/>
    <w:rsid w:val="00F76EEB"/>
    <w:rsid w:val="00F77CEB"/>
    <w:rsid w:val="00F77E10"/>
    <w:rsid w:val="00F801AF"/>
    <w:rsid w:val="00F805BA"/>
    <w:rsid w:val="00F81909"/>
    <w:rsid w:val="00F81ACE"/>
    <w:rsid w:val="00F8231C"/>
    <w:rsid w:val="00F82365"/>
    <w:rsid w:val="00F8272B"/>
    <w:rsid w:val="00F82B2C"/>
    <w:rsid w:val="00F83239"/>
    <w:rsid w:val="00F83CB0"/>
    <w:rsid w:val="00F844AA"/>
    <w:rsid w:val="00F84732"/>
    <w:rsid w:val="00F853DE"/>
    <w:rsid w:val="00F8557F"/>
    <w:rsid w:val="00F85E59"/>
    <w:rsid w:val="00F86097"/>
    <w:rsid w:val="00F86363"/>
    <w:rsid w:val="00F86740"/>
    <w:rsid w:val="00F8695F"/>
    <w:rsid w:val="00F870E1"/>
    <w:rsid w:val="00F8729F"/>
    <w:rsid w:val="00F87ED1"/>
    <w:rsid w:val="00F90032"/>
    <w:rsid w:val="00F90843"/>
    <w:rsid w:val="00F90B76"/>
    <w:rsid w:val="00F90E95"/>
    <w:rsid w:val="00F916D2"/>
    <w:rsid w:val="00F91748"/>
    <w:rsid w:val="00F928AB"/>
    <w:rsid w:val="00F9320D"/>
    <w:rsid w:val="00F93862"/>
    <w:rsid w:val="00F93A4A"/>
    <w:rsid w:val="00F93B3C"/>
    <w:rsid w:val="00F9446A"/>
    <w:rsid w:val="00F9525D"/>
    <w:rsid w:val="00F9548A"/>
    <w:rsid w:val="00F959F8"/>
    <w:rsid w:val="00F95AE4"/>
    <w:rsid w:val="00F97685"/>
    <w:rsid w:val="00F977BE"/>
    <w:rsid w:val="00F977C5"/>
    <w:rsid w:val="00F97EE4"/>
    <w:rsid w:val="00FA0045"/>
    <w:rsid w:val="00FA1784"/>
    <w:rsid w:val="00FA1CE7"/>
    <w:rsid w:val="00FA206A"/>
    <w:rsid w:val="00FA2A0F"/>
    <w:rsid w:val="00FA2DB9"/>
    <w:rsid w:val="00FA32FC"/>
    <w:rsid w:val="00FA35C5"/>
    <w:rsid w:val="00FA3654"/>
    <w:rsid w:val="00FA3964"/>
    <w:rsid w:val="00FA3D4A"/>
    <w:rsid w:val="00FA44D9"/>
    <w:rsid w:val="00FA4686"/>
    <w:rsid w:val="00FA46DD"/>
    <w:rsid w:val="00FA4713"/>
    <w:rsid w:val="00FA492B"/>
    <w:rsid w:val="00FA5192"/>
    <w:rsid w:val="00FA6C5E"/>
    <w:rsid w:val="00FA7043"/>
    <w:rsid w:val="00FA7299"/>
    <w:rsid w:val="00FA74CC"/>
    <w:rsid w:val="00FB07C2"/>
    <w:rsid w:val="00FB09BF"/>
    <w:rsid w:val="00FB0BBF"/>
    <w:rsid w:val="00FB0C04"/>
    <w:rsid w:val="00FB1A5E"/>
    <w:rsid w:val="00FB2103"/>
    <w:rsid w:val="00FB22FE"/>
    <w:rsid w:val="00FB243E"/>
    <w:rsid w:val="00FB3562"/>
    <w:rsid w:val="00FB3582"/>
    <w:rsid w:val="00FB37A0"/>
    <w:rsid w:val="00FB3AA8"/>
    <w:rsid w:val="00FB4394"/>
    <w:rsid w:val="00FB5DFD"/>
    <w:rsid w:val="00FB68F9"/>
    <w:rsid w:val="00FB698E"/>
    <w:rsid w:val="00FB6F47"/>
    <w:rsid w:val="00FB7146"/>
    <w:rsid w:val="00FB7AFC"/>
    <w:rsid w:val="00FB7D80"/>
    <w:rsid w:val="00FC031D"/>
    <w:rsid w:val="00FC0A1C"/>
    <w:rsid w:val="00FC1074"/>
    <w:rsid w:val="00FC2723"/>
    <w:rsid w:val="00FC4382"/>
    <w:rsid w:val="00FC456E"/>
    <w:rsid w:val="00FC4BBE"/>
    <w:rsid w:val="00FC4D0E"/>
    <w:rsid w:val="00FC50E1"/>
    <w:rsid w:val="00FC5BEE"/>
    <w:rsid w:val="00FC5D67"/>
    <w:rsid w:val="00FC641E"/>
    <w:rsid w:val="00FC69C6"/>
    <w:rsid w:val="00FC6AB3"/>
    <w:rsid w:val="00FC737E"/>
    <w:rsid w:val="00FD02A6"/>
    <w:rsid w:val="00FD0860"/>
    <w:rsid w:val="00FD2006"/>
    <w:rsid w:val="00FD2A23"/>
    <w:rsid w:val="00FD31C2"/>
    <w:rsid w:val="00FD3891"/>
    <w:rsid w:val="00FD3A6E"/>
    <w:rsid w:val="00FD3B4D"/>
    <w:rsid w:val="00FD4158"/>
    <w:rsid w:val="00FD42EF"/>
    <w:rsid w:val="00FD4465"/>
    <w:rsid w:val="00FD47FF"/>
    <w:rsid w:val="00FD4919"/>
    <w:rsid w:val="00FD5768"/>
    <w:rsid w:val="00FD5F8D"/>
    <w:rsid w:val="00FD6330"/>
    <w:rsid w:val="00FD6B99"/>
    <w:rsid w:val="00FD7559"/>
    <w:rsid w:val="00FD7800"/>
    <w:rsid w:val="00FD7F7D"/>
    <w:rsid w:val="00FD7FAF"/>
    <w:rsid w:val="00FE0A34"/>
    <w:rsid w:val="00FE0CF8"/>
    <w:rsid w:val="00FE1E08"/>
    <w:rsid w:val="00FE255E"/>
    <w:rsid w:val="00FE257F"/>
    <w:rsid w:val="00FE2710"/>
    <w:rsid w:val="00FE27EE"/>
    <w:rsid w:val="00FE2B8C"/>
    <w:rsid w:val="00FE3424"/>
    <w:rsid w:val="00FE3517"/>
    <w:rsid w:val="00FE3947"/>
    <w:rsid w:val="00FE3BE3"/>
    <w:rsid w:val="00FE3E60"/>
    <w:rsid w:val="00FE4831"/>
    <w:rsid w:val="00FE4E60"/>
    <w:rsid w:val="00FE507D"/>
    <w:rsid w:val="00FE6607"/>
    <w:rsid w:val="00FE7019"/>
    <w:rsid w:val="00FE7B67"/>
    <w:rsid w:val="00FF03C9"/>
    <w:rsid w:val="00FF0D05"/>
    <w:rsid w:val="00FF1013"/>
    <w:rsid w:val="00FF12D4"/>
    <w:rsid w:val="00FF12F1"/>
    <w:rsid w:val="00FF18D4"/>
    <w:rsid w:val="00FF1BAE"/>
    <w:rsid w:val="00FF2663"/>
    <w:rsid w:val="00FF2E99"/>
    <w:rsid w:val="00FF33A5"/>
    <w:rsid w:val="00FF3698"/>
    <w:rsid w:val="00FF4E34"/>
    <w:rsid w:val="00FF51DB"/>
    <w:rsid w:val="00FF5546"/>
    <w:rsid w:val="00FF582F"/>
    <w:rsid w:val="00FF66A6"/>
    <w:rsid w:val="00FF677E"/>
    <w:rsid w:val="00FF6F09"/>
    <w:rsid w:val="00FF7B2D"/>
    <w:rsid w:val="00FF7D31"/>
    <w:rsid w:val="0BD542F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35"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unhideWhenUsed="0" w:uiPriority="0" w:name="index 1"/>
    <w:lsdException w:uiPriority="99" w:name="index 2"/>
    <w:lsdException w:uiPriority="99" w:name="index 3"/>
    <w:lsdException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uiPriority="0" w:semiHidden="0" w:name="Normal Indent"/>
    <w:lsdException w:qFormat="1" w:uiPriority="0" w:semiHidden="0" w:name="footnote text"/>
    <w:lsdException w:qFormat="1" w:uiPriority="0" w:semiHidden="0" w:name="annotation text"/>
    <w:lsdException w:qFormat="1" w:unhideWhenUsed="0" w:uiPriority="99" w:semiHidden="0" w:name="header"/>
    <w:lsdException w:qFormat="1" w:uiPriority="99" w:semiHidden="0" w:name="footer"/>
    <w:lsdException w:uiPriority="99" w:name="index heading"/>
    <w:lsdException w:qFormat="1" w:unhideWhenUsed="0" w:uiPriority="0" w:semiHidden="0" w:name="caption"/>
    <w:lsdException w:uiPriority="99" w:semiHidden="0" w:name="table of figures"/>
    <w:lsdException w:qFormat="1" w:unhideWhenUsed="0" w:uiPriority="0" w:name="envelope address"/>
    <w:lsdException w:uiPriority="99"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iPriority="99" w:semiHidden="0" w:name="List Number"/>
    <w:lsdException w:unhideWhenUsed="0" w:uiPriority="99" w:semiHidden="0" w:name="List 2"/>
    <w:lsdException w:uiPriority="99" w:name="List 3"/>
    <w:lsdException w:uiPriority="99" w:name="List 4"/>
    <w:lsdException w:uiPriority="99" w:name="List 5"/>
    <w:lsdException w:unhideWhenUsed="0" w:uiPriority="0" w:semiHidden="0" w:name="List Bullet 2"/>
    <w:lsdException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nhideWhenUsed="0" w:uiPriority="0" w:semiHidden="0"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unhideWhenUsed="0" w:uiPriority="99"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nhideWhenUsed="0" w:uiPriority="99" w:semiHidden="0" w:name="E-mail Signature"/>
    <w:lsdException w:qFormat="1" w:unhideWhenUsed="0" w:uiPriority="99" w:semiHidden="0" w:name="Normal (Web)"/>
    <w:lsdException w:qFormat="1" w:unhideWhenUsed="0" w:uiPriority="0" w:name="HTML Acronym"/>
    <w:lsdException w:unhideWhenUsed="0" w:uiPriority="0" w:name="HTML Address"/>
    <w:lsdException w:unhideWhenUsed="0"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nhideWhenUsed="0" w:uiPriority="0" w:semiHidden="0" w:name="Table Grid 2"/>
    <w:lsdException w:uiPriority="99" w:name="Table Grid 3"/>
    <w:lsdException w:uiPriority="99" w:name="Table Grid 4"/>
    <w:lsdException w:unhideWhenUsed="0" w:uiPriority="0" w:semiHidden="0" w:name="Table Grid 5"/>
    <w:lsdException w:uiPriority="99" w:name="Table Grid 6"/>
    <w:lsdException w:uiPriority="99" w:name="Table Grid 7"/>
    <w:lsdException w:uiPriority="99" w:name="Table Grid 8"/>
    <w:lsdException w:qFormat="1" w:unhideWhenUsed="0" w:uiPriority="0" w:semiHidden="0"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unhideWhenUsed="0" w:uiPriority="0" w:semiHidden="0" w:name="Table Professional"/>
    <w:lsdException w:qFormat="1" w:unhideWhenUsed="0" w:uiPriority="0" w:semiHidden="0" w:name="Table Subtle 1"/>
    <w:lsdException w:uiPriority="99" w:name="Table Subtle 2"/>
    <w:lsdException w:qFormat="1" w:unhideWhenUsed="0" w:uiPriority="0" w:name="Table Web 1"/>
    <w:lsdException w:qFormat="1" w:unhideWhenUsed="0" w:uiPriority="0" w:name="Table Web 2"/>
    <w:lsdException w:unhideWhenUsed="0" w:uiPriority="0" w:name="Table Web 3"/>
    <w:lsdException w:qFormat="1" w:uiPriority="99" w:semiHidden="0" w:name="Balloon Text"/>
    <w:lsdException w:unhideWhenUsed="0" w:uiPriority="39" w:semiHidden="0" w:name="Table Grid"/>
    <w:lsdException w:unhideWhenUsed="0" w:uiPriority="0" w:semiHidden="0" w:name="Table Theme"/>
    <w:lsdException w:qFormat="1" w:unhideWhenUsed="0" w:uiPriority="99" w:name="Placeholder Text"/>
    <w:lsdException w:qFormat="1" w:unhideWhenUsed="0" w:uiPriority="1" w:semiHidden="0" w:name="No Spacing"/>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99" w:semiHidden="0" w:name="Light List Accent 3"/>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link w:val="113"/>
    <w:qFormat/>
    <w:uiPriority w:val="0"/>
    <w:pPr>
      <w:keepNext/>
      <w:pageBreakBefore/>
      <w:suppressAutoHyphens/>
      <w:spacing w:after="120"/>
      <w:ind w:left="360" w:right="-2"/>
      <w:jc w:val="center"/>
      <w:outlineLvl w:val="0"/>
    </w:pPr>
    <w:rPr>
      <w:rFonts w:ascii="Cambria" w:hAnsi="Cambria"/>
      <w:b/>
      <w:bCs/>
      <w:color w:val="000000"/>
      <w:spacing w:val="20"/>
      <w:kern w:val="32"/>
      <w:sz w:val="34"/>
      <w:szCs w:val="34"/>
    </w:rPr>
  </w:style>
  <w:style w:type="paragraph" w:styleId="3">
    <w:name w:val="heading 2"/>
    <w:basedOn w:val="1"/>
    <w:next w:val="1"/>
    <w:link w:val="114"/>
    <w:qFormat/>
    <w:uiPriority w:val="0"/>
    <w:pPr>
      <w:keepNext/>
      <w:spacing w:before="240" w:after="60"/>
      <w:outlineLvl w:val="1"/>
    </w:pPr>
    <w:rPr>
      <w:rFonts w:ascii="Arial" w:hAnsi="Arial"/>
      <w:b/>
      <w:bCs/>
      <w:i/>
      <w:iCs/>
      <w:sz w:val="28"/>
      <w:szCs w:val="28"/>
    </w:rPr>
  </w:style>
  <w:style w:type="paragraph" w:styleId="4">
    <w:name w:val="heading 3"/>
    <w:basedOn w:val="1"/>
    <w:next w:val="1"/>
    <w:link w:val="115"/>
    <w:qFormat/>
    <w:uiPriority w:val="35"/>
    <w:pPr>
      <w:keepNext/>
      <w:spacing w:before="240" w:after="60"/>
      <w:outlineLvl w:val="2"/>
    </w:pPr>
    <w:rPr>
      <w:rFonts w:ascii="Arial" w:hAnsi="Arial"/>
      <w:b/>
      <w:bCs/>
      <w:sz w:val="26"/>
      <w:szCs w:val="26"/>
    </w:rPr>
  </w:style>
  <w:style w:type="paragraph" w:styleId="5">
    <w:name w:val="heading 4"/>
    <w:basedOn w:val="1"/>
    <w:next w:val="1"/>
    <w:link w:val="116"/>
    <w:qFormat/>
    <w:uiPriority w:val="0"/>
    <w:pPr>
      <w:keepNext/>
      <w:spacing w:before="240" w:after="60"/>
      <w:outlineLvl w:val="3"/>
    </w:pPr>
    <w:rPr>
      <w:b/>
      <w:bCs/>
      <w:sz w:val="28"/>
      <w:szCs w:val="28"/>
    </w:rPr>
  </w:style>
  <w:style w:type="paragraph" w:styleId="6">
    <w:name w:val="heading 5"/>
    <w:basedOn w:val="1"/>
    <w:next w:val="1"/>
    <w:link w:val="117"/>
    <w:qFormat/>
    <w:uiPriority w:val="0"/>
    <w:pPr>
      <w:spacing w:before="240" w:after="60"/>
      <w:outlineLvl w:val="4"/>
    </w:pPr>
    <w:rPr>
      <w:b/>
      <w:bCs/>
      <w:i/>
      <w:iCs/>
      <w:sz w:val="26"/>
      <w:szCs w:val="26"/>
    </w:rPr>
  </w:style>
  <w:style w:type="paragraph" w:styleId="7">
    <w:name w:val="heading 6"/>
    <w:basedOn w:val="1"/>
    <w:next w:val="1"/>
    <w:link w:val="133"/>
    <w:qFormat/>
    <w:uiPriority w:val="0"/>
    <w:pPr>
      <w:keepNext/>
      <w:tabs>
        <w:tab w:val="left" w:pos="1152"/>
      </w:tabs>
      <w:suppressAutoHyphens/>
      <w:spacing w:before="120" w:after="120"/>
      <w:ind w:left="1152" w:hanging="1152"/>
      <w:jc w:val="both"/>
      <w:outlineLvl w:val="5"/>
    </w:pPr>
    <w:rPr>
      <w:b/>
      <w:bCs/>
      <w:sz w:val="28"/>
      <w:szCs w:val="20"/>
      <w:lang w:eastAsia="ar-SA"/>
    </w:rPr>
  </w:style>
  <w:style w:type="paragraph" w:styleId="8">
    <w:name w:val="heading 7"/>
    <w:basedOn w:val="1"/>
    <w:next w:val="1"/>
    <w:link w:val="138"/>
    <w:qFormat/>
    <w:uiPriority w:val="9"/>
    <w:pPr>
      <w:keepNext/>
      <w:tabs>
        <w:tab w:val="left" w:pos="1296"/>
      </w:tabs>
      <w:spacing w:line="360" w:lineRule="auto"/>
      <w:ind w:left="1296" w:hanging="1296"/>
      <w:jc w:val="both"/>
      <w:outlineLvl w:val="6"/>
    </w:pPr>
    <w:rPr>
      <w:sz w:val="28"/>
      <w:szCs w:val="20"/>
    </w:rPr>
  </w:style>
  <w:style w:type="paragraph" w:styleId="9">
    <w:name w:val="heading 8"/>
    <w:basedOn w:val="1"/>
    <w:next w:val="1"/>
    <w:link w:val="118"/>
    <w:qFormat/>
    <w:uiPriority w:val="0"/>
    <w:pPr>
      <w:spacing w:before="240" w:after="60"/>
      <w:outlineLvl w:val="7"/>
    </w:pPr>
    <w:rPr>
      <w:i/>
      <w:iCs/>
    </w:rPr>
  </w:style>
  <w:style w:type="paragraph" w:styleId="10">
    <w:name w:val="heading 9"/>
    <w:basedOn w:val="1"/>
    <w:next w:val="1"/>
    <w:link w:val="119"/>
    <w:qFormat/>
    <w:uiPriority w:val="0"/>
    <w:pPr>
      <w:spacing w:before="240" w:after="60"/>
      <w:outlineLvl w:val="8"/>
    </w:pPr>
    <w:rPr>
      <w:rFonts w:ascii="Arial" w:hAnsi="Arial"/>
      <w:sz w:val="20"/>
      <w:szCs w:val="20"/>
    </w:rPr>
  </w:style>
  <w:style w:type="character" w:default="1" w:styleId="88">
    <w:name w:val="Default Paragraph Font"/>
    <w:semiHidden/>
    <w:unhideWhenUsed/>
    <w:uiPriority w:val="1"/>
  </w:style>
  <w:style w:type="table" w:default="1" w:styleId="100">
    <w:name w:val="Normal Table"/>
    <w:semiHidden/>
    <w:unhideWhenUsed/>
    <w:uiPriority w:val="99"/>
    <w:tblPr>
      <w:tblLayout w:type="fixed"/>
      <w:tblCellMar>
        <w:top w:w="0" w:type="dxa"/>
        <w:left w:w="108" w:type="dxa"/>
        <w:bottom w:w="0" w:type="dxa"/>
        <w:right w:w="108" w:type="dxa"/>
      </w:tblCellMar>
    </w:tblPr>
  </w:style>
  <w:style w:type="paragraph" w:styleId="11">
    <w:name w:val="Balloon Text"/>
    <w:basedOn w:val="1"/>
    <w:link w:val="146"/>
    <w:unhideWhenUsed/>
    <w:qFormat/>
    <w:uiPriority w:val="99"/>
    <w:rPr>
      <w:rFonts w:ascii="Tahoma" w:hAnsi="Tahoma"/>
      <w:sz w:val="16"/>
      <w:szCs w:val="16"/>
    </w:rPr>
  </w:style>
  <w:style w:type="paragraph" w:styleId="12">
    <w:name w:val="List 5"/>
    <w:basedOn w:val="1"/>
    <w:semiHidden/>
    <w:unhideWhenUsed/>
    <w:uiPriority w:val="99"/>
    <w:pPr>
      <w:ind w:left="1415" w:hanging="283"/>
      <w:contextualSpacing/>
    </w:pPr>
  </w:style>
  <w:style w:type="paragraph" w:styleId="13">
    <w:name w:val="List Continue"/>
    <w:basedOn w:val="1"/>
    <w:semiHidden/>
    <w:unhideWhenUsed/>
    <w:uiPriority w:val="99"/>
    <w:pPr>
      <w:spacing w:after="120"/>
      <w:ind w:left="283"/>
      <w:contextualSpacing/>
    </w:pPr>
  </w:style>
  <w:style w:type="paragraph" w:styleId="14">
    <w:name w:val="Body Text 2"/>
    <w:basedOn w:val="1"/>
    <w:link w:val="170"/>
    <w:qFormat/>
    <w:uiPriority w:val="0"/>
    <w:pPr>
      <w:widowControl w:val="0"/>
      <w:autoSpaceDE w:val="0"/>
      <w:autoSpaceDN w:val="0"/>
      <w:adjustRightInd w:val="0"/>
      <w:jc w:val="both"/>
    </w:pPr>
    <w:rPr>
      <w:szCs w:val="20"/>
    </w:rPr>
  </w:style>
  <w:style w:type="paragraph" w:styleId="15">
    <w:name w:val="List Number 5"/>
    <w:basedOn w:val="1"/>
    <w:semiHidden/>
    <w:unhideWhenUsed/>
    <w:uiPriority w:val="99"/>
    <w:pPr>
      <w:numPr>
        <w:ilvl w:val="0"/>
        <w:numId w:val="1"/>
      </w:numPr>
      <w:contextualSpacing/>
    </w:pPr>
  </w:style>
  <w:style w:type="paragraph" w:styleId="16">
    <w:name w:val="Closing"/>
    <w:basedOn w:val="1"/>
    <w:link w:val="556"/>
    <w:uiPriority w:val="0"/>
    <w:pPr>
      <w:spacing w:line="220" w:lineRule="atLeast"/>
      <w:ind w:left="835"/>
    </w:pPr>
    <w:rPr>
      <w:sz w:val="20"/>
      <w:szCs w:val="20"/>
      <w:lang w:eastAsia="en-US"/>
    </w:rPr>
  </w:style>
  <w:style w:type="paragraph" w:styleId="17">
    <w:name w:val="Normal Indent"/>
    <w:basedOn w:val="1"/>
    <w:unhideWhenUsed/>
    <w:uiPriority w:val="0"/>
    <w:pPr>
      <w:ind w:left="708"/>
    </w:pPr>
  </w:style>
  <w:style w:type="paragraph" w:styleId="18">
    <w:name w:val="envelope return"/>
    <w:basedOn w:val="1"/>
    <w:semiHidden/>
    <w:unhideWhenUsed/>
    <w:uiPriority w:val="99"/>
    <w:rPr>
      <w:rFonts w:ascii="Cambria" w:hAnsi="Cambria"/>
      <w:sz w:val="20"/>
      <w:szCs w:val="20"/>
    </w:rPr>
  </w:style>
  <w:style w:type="paragraph" w:styleId="19">
    <w:name w:val="Plain Text"/>
    <w:basedOn w:val="1"/>
    <w:link w:val="136"/>
    <w:qFormat/>
    <w:uiPriority w:val="99"/>
    <w:rPr>
      <w:rFonts w:ascii="Courier New" w:hAnsi="Courier New"/>
      <w:sz w:val="20"/>
      <w:szCs w:val="20"/>
    </w:rPr>
  </w:style>
  <w:style w:type="paragraph" w:styleId="20">
    <w:name w:val="Body Text Indent 3"/>
    <w:basedOn w:val="1"/>
    <w:link w:val="178"/>
    <w:uiPriority w:val="0"/>
    <w:pPr>
      <w:spacing w:after="120"/>
      <w:ind w:left="283"/>
    </w:pPr>
    <w:rPr>
      <w:sz w:val="16"/>
      <w:szCs w:val="16"/>
    </w:rPr>
  </w:style>
  <w:style w:type="paragraph" w:styleId="21">
    <w:name w:val="endnote text"/>
    <w:basedOn w:val="1"/>
    <w:link w:val="127"/>
    <w:qFormat/>
    <w:uiPriority w:val="99"/>
    <w:rPr>
      <w:sz w:val="20"/>
      <w:szCs w:val="20"/>
    </w:rPr>
  </w:style>
  <w:style w:type="paragraph" w:styleId="22">
    <w:name w:val="caption"/>
    <w:basedOn w:val="1"/>
    <w:next w:val="1"/>
    <w:link w:val="817"/>
    <w:qFormat/>
    <w:uiPriority w:val="0"/>
    <w:pPr>
      <w:spacing w:after="200"/>
    </w:pPr>
    <w:rPr>
      <w:b/>
      <w:bCs/>
      <w:color w:val="4F81BD"/>
      <w:sz w:val="18"/>
      <w:szCs w:val="18"/>
    </w:rPr>
  </w:style>
  <w:style w:type="paragraph" w:styleId="23">
    <w:name w:val="annotation text"/>
    <w:basedOn w:val="1"/>
    <w:link w:val="148"/>
    <w:unhideWhenUsed/>
    <w:qFormat/>
    <w:uiPriority w:val="0"/>
    <w:rPr>
      <w:sz w:val="20"/>
      <w:szCs w:val="20"/>
    </w:rPr>
  </w:style>
  <w:style w:type="paragraph" w:styleId="24">
    <w:name w:val="index 1"/>
    <w:basedOn w:val="1"/>
    <w:next w:val="1"/>
    <w:semiHidden/>
    <w:uiPriority w:val="0"/>
    <w:pPr>
      <w:ind w:left="240" w:hanging="240"/>
    </w:pPr>
    <w:rPr>
      <w:lang w:val="en-US" w:eastAsia="en-US"/>
    </w:rPr>
  </w:style>
  <w:style w:type="paragraph" w:styleId="25">
    <w:name w:val="annotation subject"/>
    <w:basedOn w:val="23"/>
    <w:next w:val="23"/>
    <w:link w:val="149"/>
    <w:unhideWhenUsed/>
    <w:qFormat/>
    <w:uiPriority w:val="0"/>
    <w:rPr>
      <w:b/>
      <w:bCs/>
    </w:rPr>
  </w:style>
  <w:style w:type="paragraph" w:styleId="26">
    <w:name w:val="Document Map"/>
    <w:basedOn w:val="1"/>
    <w:link w:val="145"/>
    <w:unhideWhenUsed/>
    <w:qFormat/>
    <w:uiPriority w:val="99"/>
    <w:rPr>
      <w:rFonts w:ascii="Tahoma" w:hAnsi="Tahoma"/>
      <w:sz w:val="16"/>
      <w:szCs w:val="16"/>
    </w:rPr>
  </w:style>
  <w:style w:type="paragraph" w:styleId="27">
    <w:name w:val="footnote text"/>
    <w:basedOn w:val="1"/>
    <w:link w:val="147"/>
    <w:unhideWhenUsed/>
    <w:qFormat/>
    <w:uiPriority w:val="0"/>
    <w:rPr>
      <w:sz w:val="20"/>
      <w:szCs w:val="20"/>
    </w:rPr>
  </w:style>
  <w:style w:type="paragraph" w:styleId="28">
    <w:name w:val="toc 8"/>
    <w:basedOn w:val="1"/>
    <w:next w:val="1"/>
    <w:qFormat/>
    <w:uiPriority w:val="39"/>
    <w:pPr>
      <w:ind w:left="1440"/>
    </w:pPr>
    <w:rPr>
      <w:sz w:val="20"/>
      <w:szCs w:val="20"/>
    </w:rPr>
  </w:style>
  <w:style w:type="paragraph" w:styleId="29">
    <w:name w:val="index 2"/>
    <w:basedOn w:val="1"/>
    <w:next w:val="1"/>
    <w:semiHidden/>
    <w:unhideWhenUsed/>
    <w:uiPriority w:val="99"/>
    <w:pPr>
      <w:ind w:left="480" w:hanging="240"/>
    </w:pPr>
  </w:style>
  <w:style w:type="paragraph" w:styleId="30">
    <w:name w:val="List Number 3"/>
    <w:basedOn w:val="1"/>
    <w:semiHidden/>
    <w:unhideWhenUsed/>
    <w:uiPriority w:val="99"/>
    <w:pPr>
      <w:numPr>
        <w:ilvl w:val="0"/>
        <w:numId w:val="2"/>
      </w:numPr>
      <w:contextualSpacing/>
    </w:pPr>
  </w:style>
  <w:style w:type="paragraph" w:styleId="31">
    <w:name w:val="HTML Address"/>
    <w:basedOn w:val="1"/>
    <w:link w:val="128"/>
    <w:semiHidden/>
    <w:uiPriority w:val="0"/>
    <w:rPr>
      <w:i/>
      <w:iCs/>
    </w:rPr>
  </w:style>
  <w:style w:type="paragraph" w:styleId="32">
    <w:name w:val="index 7"/>
    <w:basedOn w:val="1"/>
    <w:next w:val="1"/>
    <w:semiHidden/>
    <w:unhideWhenUsed/>
    <w:uiPriority w:val="99"/>
    <w:pPr>
      <w:ind w:left="1680" w:hanging="240"/>
    </w:pPr>
  </w:style>
  <w:style w:type="paragraph" w:styleId="33">
    <w:name w:val="index 3"/>
    <w:basedOn w:val="1"/>
    <w:next w:val="1"/>
    <w:semiHidden/>
    <w:unhideWhenUsed/>
    <w:uiPriority w:val="99"/>
    <w:pPr>
      <w:ind w:left="720" w:hanging="240"/>
    </w:pPr>
  </w:style>
  <w:style w:type="paragraph" w:styleId="34">
    <w:name w:val="index 5"/>
    <w:basedOn w:val="1"/>
    <w:next w:val="1"/>
    <w:semiHidden/>
    <w:unhideWhenUsed/>
    <w:uiPriority w:val="99"/>
    <w:pPr>
      <w:ind w:left="1200" w:hanging="240"/>
    </w:pPr>
  </w:style>
  <w:style w:type="paragraph" w:styleId="35">
    <w:name w:val="index 4"/>
    <w:basedOn w:val="1"/>
    <w:next w:val="1"/>
    <w:uiPriority w:val="99"/>
    <w:pPr>
      <w:ind w:left="800" w:hanging="200"/>
      <w:jc w:val="center"/>
    </w:pPr>
    <w:rPr>
      <w:rFonts w:ascii="Arial" w:hAnsi="Arial"/>
    </w:rPr>
  </w:style>
  <w:style w:type="paragraph" w:styleId="36">
    <w:name w:val="header"/>
    <w:basedOn w:val="1"/>
    <w:link w:val="122"/>
    <w:qFormat/>
    <w:uiPriority w:val="99"/>
    <w:pPr>
      <w:tabs>
        <w:tab w:val="center" w:pos="4677"/>
        <w:tab w:val="right" w:pos="9355"/>
      </w:tabs>
    </w:pPr>
  </w:style>
  <w:style w:type="paragraph" w:styleId="37">
    <w:name w:val="toc 9"/>
    <w:basedOn w:val="1"/>
    <w:next w:val="1"/>
    <w:qFormat/>
    <w:uiPriority w:val="39"/>
    <w:pPr>
      <w:ind w:left="1680"/>
    </w:pPr>
    <w:rPr>
      <w:sz w:val="20"/>
      <w:szCs w:val="20"/>
    </w:rPr>
  </w:style>
  <w:style w:type="paragraph" w:styleId="38">
    <w:name w:val="toc 7"/>
    <w:basedOn w:val="1"/>
    <w:next w:val="1"/>
    <w:uiPriority w:val="39"/>
    <w:pPr>
      <w:ind w:left="1200"/>
    </w:pPr>
    <w:rPr>
      <w:sz w:val="20"/>
      <w:szCs w:val="20"/>
    </w:rPr>
  </w:style>
  <w:style w:type="paragraph" w:styleId="39">
    <w:name w:val="index 6"/>
    <w:basedOn w:val="1"/>
    <w:next w:val="1"/>
    <w:semiHidden/>
    <w:unhideWhenUsed/>
    <w:uiPriority w:val="99"/>
    <w:pPr>
      <w:ind w:left="1440" w:hanging="240"/>
    </w:pPr>
  </w:style>
  <w:style w:type="paragraph" w:styleId="40">
    <w:name w:val="envelope address"/>
    <w:basedOn w:val="1"/>
    <w:semiHidden/>
    <w:qFormat/>
    <w:uiPriority w:val="0"/>
    <w:pPr>
      <w:framePr w:w="7920" w:h="1980" w:hRule="exact" w:hSpace="180" w:wrap="around" w:vAnchor="margin" w:hAnchor="page" w:xAlign="center" w:yAlign="bottom"/>
      <w:ind w:left="2880"/>
    </w:pPr>
    <w:rPr>
      <w:rFonts w:ascii="Arial" w:hAnsi="Arial" w:cs="Arial"/>
    </w:rPr>
  </w:style>
  <w:style w:type="paragraph" w:styleId="41">
    <w:name w:val="index 8"/>
    <w:basedOn w:val="1"/>
    <w:next w:val="1"/>
    <w:semiHidden/>
    <w:unhideWhenUsed/>
    <w:uiPriority w:val="99"/>
    <w:pPr>
      <w:ind w:left="1920" w:hanging="240"/>
    </w:pPr>
  </w:style>
  <w:style w:type="paragraph" w:styleId="42">
    <w:name w:val="Body Text"/>
    <w:basedOn w:val="1"/>
    <w:link w:val="169"/>
    <w:qFormat/>
    <w:uiPriority w:val="0"/>
    <w:pPr>
      <w:ind w:left="360"/>
      <w:jc w:val="both"/>
    </w:pPr>
    <w:rPr>
      <w:b/>
      <w:bCs/>
    </w:rPr>
  </w:style>
  <w:style w:type="paragraph" w:styleId="43">
    <w:name w:val="index 9"/>
    <w:basedOn w:val="1"/>
    <w:next w:val="1"/>
    <w:semiHidden/>
    <w:unhideWhenUsed/>
    <w:uiPriority w:val="99"/>
    <w:pPr>
      <w:ind w:left="2160" w:hanging="240"/>
    </w:pPr>
  </w:style>
  <w:style w:type="paragraph" w:styleId="44">
    <w:name w:val="List Number 4"/>
    <w:basedOn w:val="1"/>
    <w:semiHidden/>
    <w:unhideWhenUsed/>
    <w:uiPriority w:val="99"/>
    <w:pPr>
      <w:numPr>
        <w:ilvl w:val="0"/>
        <w:numId w:val="3"/>
      </w:numPr>
      <w:contextualSpacing/>
    </w:pPr>
  </w:style>
  <w:style w:type="paragraph" w:styleId="45">
    <w:name w:val="toa heading"/>
    <w:basedOn w:val="1"/>
    <w:next w:val="1"/>
    <w:semiHidden/>
    <w:unhideWhenUsed/>
    <w:uiPriority w:val="99"/>
    <w:pPr>
      <w:spacing w:before="120"/>
    </w:pPr>
    <w:rPr>
      <w:rFonts w:ascii="Cambria" w:hAnsi="Cambria"/>
      <w:b/>
      <w:bCs/>
    </w:rPr>
  </w:style>
  <w:style w:type="paragraph" w:styleId="46">
    <w:name w:val="index heading"/>
    <w:basedOn w:val="1"/>
    <w:next w:val="24"/>
    <w:semiHidden/>
    <w:unhideWhenUsed/>
    <w:uiPriority w:val="99"/>
    <w:rPr>
      <w:rFonts w:ascii="Cambria" w:hAnsi="Cambria"/>
      <w:b/>
      <w:bCs/>
    </w:rPr>
  </w:style>
  <w:style w:type="paragraph" w:styleId="47">
    <w:name w:val="toc 1"/>
    <w:basedOn w:val="1"/>
    <w:next w:val="1"/>
    <w:qFormat/>
    <w:uiPriority w:val="39"/>
    <w:pPr>
      <w:tabs>
        <w:tab w:val="left" w:pos="709"/>
        <w:tab w:val="right" w:leader="dot" w:pos="9072"/>
      </w:tabs>
      <w:spacing w:before="100" w:after="60"/>
      <w:ind w:left="426" w:hanging="426"/>
    </w:pPr>
    <w:rPr>
      <w:rFonts w:ascii="Cambria" w:hAnsi="Cambria"/>
      <w:b/>
      <w:caps/>
      <w:spacing w:val="20"/>
      <w:sz w:val="28"/>
      <w:szCs w:val="28"/>
    </w:rPr>
  </w:style>
  <w:style w:type="paragraph" w:styleId="48">
    <w:name w:val="table of authorities"/>
    <w:basedOn w:val="1"/>
    <w:next w:val="1"/>
    <w:semiHidden/>
    <w:unhideWhenUsed/>
    <w:uiPriority w:val="99"/>
    <w:pPr>
      <w:ind w:left="240" w:hanging="240"/>
    </w:pPr>
  </w:style>
  <w:style w:type="paragraph" w:styleId="49">
    <w:name w:val="macro"/>
    <w:link w:val="786"/>
    <w:semiHidden/>
    <w:unhideWhenUsed/>
    <w:uiPriority w:val="99"/>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ru-RU" w:eastAsia="ru-RU" w:bidi="ar-SA"/>
    </w:rPr>
  </w:style>
  <w:style w:type="paragraph" w:styleId="50">
    <w:name w:val="toc 6"/>
    <w:basedOn w:val="1"/>
    <w:next w:val="1"/>
    <w:qFormat/>
    <w:uiPriority w:val="39"/>
    <w:pPr>
      <w:ind w:left="960"/>
    </w:pPr>
    <w:rPr>
      <w:sz w:val="20"/>
      <w:szCs w:val="20"/>
    </w:rPr>
  </w:style>
  <w:style w:type="paragraph" w:styleId="51">
    <w:name w:val="table of figures"/>
    <w:basedOn w:val="1"/>
    <w:next w:val="1"/>
    <w:unhideWhenUsed/>
    <w:uiPriority w:val="99"/>
    <w:rPr>
      <w:rFonts w:ascii="Arial" w:hAnsi="Arial"/>
      <w:szCs w:val="20"/>
    </w:rPr>
  </w:style>
  <w:style w:type="paragraph" w:styleId="52">
    <w:name w:val="toc 3"/>
    <w:basedOn w:val="1"/>
    <w:next w:val="1"/>
    <w:qFormat/>
    <w:uiPriority w:val="39"/>
    <w:pPr>
      <w:tabs>
        <w:tab w:val="right" w:leader="dot" w:pos="9628"/>
      </w:tabs>
      <w:spacing w:before="40" w:after="40"/>
      <w:ind w:left="794"/>
    </w:pPr>
    <w:rPr>
      <w:i/>
    </w:rPr>
  </w:style>
  <w:style w:type="paragraph" w:styleId="53">
    <w:name w:val="toc 2"/>
    <w:basedOn w:val="1"/>
    <w:next w:val="1"/>
    <w:qFormat/>
    <w:uiPriority w:val="39"/>
    <w:pPr>
      <w:tabs>
        <w:tab w:val="left" w:pos="960"/>
        <w:tab w:val="right" w:leader="dot" w:pos="9072"/>
      </w:tabs>
      <w:spacing w:before="60" w:after="60"/>
      <w:ind w:left="794" w:hanging="368"/>
    </w:pPr>
    <w:rPr>
      <w:sz w:val="28"/>
      <w:szCs w:val="28"/>
    </w:rPr>
  </w:style>
  <w:style w:type="paragraph" w:styleId="54">
    <w:name w:val="toc 4"/>
    <w:basedOn w:val="1"/>
    <w:next w:val="1"/>
    <w:uiPriority w:val="39"/>
    <w:pPr>
      <w:ind w:left="480"/>
    </w:pPr>
    <w:rPr>
      <w:sz w:val="20"/>
      <w:szCs w:val="20"/>
    </w:rPr>
  </w:style>
  <w:style w:type="paragraph" w:styleId="55">
    <w:name w:val="toc 5"/>
    <w:basedOn w:val="1"/>
    <w:next w:val="1"/>
    <w:qFormat/>
    <w:uiPriority w:val="39"/>
    <w:pPr>
      <w:ind w:left="720"/>
    </w:pPr>
    <w:rPr>
      <w:sz w:val="20"/>
      <w:szCs w:val="20"/>
    </w:rPr>
  </w:style>
  <w:style w:type="paragraph" w:styleId="56">
    <w:name w:val="Note Heading"/>
    <w:basedOn w:val="1"/>
    <w:next w:val="1"/>
    <w:link w:val="783"/>
    <w:semiHidden/>
    <w:unhideWhenUsed/>
    <w:uiPriority w:val="99"/>
  </w:style>
  <w:style w:type="paragraph" w:styleId="57">
    <w:name w:val="Date"/>
    <w:basedOn w:val="1"/>
    <w:next w:val="1"/>
    <w:link w:val="782"/>
    <w:semiHidden/>
    <w:unhideWhenUsed/>
    <w:uiPriority w:val="99"/>
  </w:style>
  <w:style w:type="paragraph" w:styleId="58">
    <w:name w:val="List Bullet 5"/>
    <w:basedOn w:val="1"/>
    <w:semiHidden/>
    <w:unhideWhenUsed/>
    <w:uiPriority w:val="99"/>
    <w:pPr>
      <w:numPr>
        <w:ilvl w:val="0"/>
        <w:numId w:val="4"/>
      </w:numPr>
      <w:contextualSpacing/>
    </w:pPr>
  </w:style>
  <w:style w:type="paragraph" w:styleId="59">
    <w:name w:val="Body Text First Indent"/>
    <w:basedOn w:val="42"/>
    <w:link w:val="773"/>
    <w:uiPriority w:val="0"/>
    <w:pPr>
      <w:spacing w:after="120"/>
      <w:ind w:left="0" w:firstLine="210"/>
      <w:jc w:val="left"/>
    </w:pPr>
  </w:style>
  <w:style w:type="paragraph" w:styleId="60">
    <w:name w:val="Body Text First Indent 2"/>
    <w:basedOn w:val="1"/>
    <w:link w:val="130"/>
    <w:unhideWhenUsed/>
    <w:qFormat/>
    <w:uiPriority w:val="0"/>
    <w:pPr>
      <w:ind w:left="360" w:firstLine="360"/>
    </w:pPr>
  </w:style>
  <w:style w:type="paragraph" w:styleId="61">
    <w:name w:val="List Bullet 4"/>
    <w:basedOn w:val="1"/>
    <w:semiHidden/>
    <w:unhideWhenUsed/>
    <w:uiPriority w:val="99"/>
    <w:pPr>
      <w:numPr>
        <w:ilvl w:val="0"/>
        <w:numId w:val="5"/>
      </w:numPr>
      <w:contextualSpacing/>
    </w:pPr>
  </w:style>
  <w:style w:type="paragraph" w:styleId="62">
    <w:name w:val="Body Text Indent"/>
    <w:basedOn w:val="1"/>
    <w:link w:val="174"/>
    <w:qFormat/>
    <w:uiPriority w:val="0"/>
    <w:pPr>
      <w:ind w:firstLine="708"/>
      <w:jc w:val="both"/>
    </w:pPr>
  </w:style>
  <w:style w:type="paragraph" w:styleId="63">
    <w:name w:val="List Bullet"/>
    <w:basedOn w:val="1"/>
    <w:uiPriority w:val="0"/>
    <w:pPr>
      <w:ind w:firstLine="709"/>
      <w:jc w:val="both"/>
    </w:pPr>
    <w:rPr>
      <w:i/>
      <w:sz w:val="28"/>
      <w:szCs w:val="28"/>
      <w:u w:val="single"/>
    </w:rPr>
  </w:style>
  <w:style w:type="paragraph" w:styleId="64">
    <w:name w:val="List Bullet 2"/>
    <w:basedOn w:val="1"/>
    <w:uiPriority w:val="0"/>
    <w:pPr>
      <w:ind w:left="283"/>
      <w:jc w:val="center"/>
    </w:pPr>
    <w:rPr>
      <w:rFonts w:ascii="Arial CYR" w:hAnsi="Arial CYR"/>
      <w:b/>
      <w:sz w:val="28"/>
      <w:szCs w:val="28"/>
    </w:rPr>
  </w:style>
  <w:style w:type="paragraph" w:styleId="65">
    <w:name w:val="List Bullet 3"/>
    <w:basedOn w:val="1"/>
    <w:uiPriority w:val="0"/>
    <w:pPr>
      <w:widowControl w:val="0"/>
      <w:suppressAutoHyphens/>
      <w:spacing w:before="120" w:after="120"/>
      <w:jc w:val="both"/>
      <w:textAlignment w:val="baseline"/>
    </w:pPr>
    <w:rPr>
      <w:lang w:eastAsia="zh-CN"/>
    </w:rPr>
  </w:style>
  <w:style w:type="paragraph" w:styleId="66">
    <w:name w:val="Title"/>
    <w:basedOn w:val="1"/>
    <w:link w:val="176"/>
    <w:qFormat/>
    <w:uiPriority w:val="0"/>
    <w:pPr>
      <w:jc w:val="center"/>
    </w:pPr>
    <w:rPr>
      <w:b/>
      <w:bCs/>
    </w:rPr>
  </w:style>
  <w:style w:type="paragraph" w:styleId="67">
    <w:name w:val="footer"/>
    <w:basedOn w:val="1"/>
    <w:link w:val="120"/>
    <w:unhideWhenUsed/>
    <w:qFormat/>
    <w:uiPriority w:val="99"/>
    <w:pPr>
      <w:tabs>
        <w:tab w:val="center" w:pos="4677"/>
        <w:tab w:val="right" w:pos="9355"/>
      </w:tabs>
    </w:pPr>
  </w:style>
  <w:style w:type="paragraph" w:styleId="68">
    <w:name w:val="List Number"/>
    <w:basedOn w:val="1"/>
    <w:unhideWhenUsed/>
    <w:uiPriority w:val="99"/>
    <w:pPr>
      <w:numPr>
        <w:ilvl w:val="0"/>
        <w:numId w:val="6"/>
      </w:numPr>
      <w:contextualSpacing/>
    </w:pPr>
  </w:style>
  <w:style w:type="paragraph" w:styleId="69">
    <w:name w:val="List Number 2"/>
    <w:basedOn w:val="1"/>
    <w:semiHidden/>
    <w:unhideWhenUsed/>
    <w:uiPriority w:val="99"/>
    <w:pPr>
      <w:numPr>
        <w:ilvl w:val="0"/>
        <w:numId w:val="7"/>
      </w:numPr>
      <w:contextualSpacing/>
    </w:pPr>
  </w:style>
  <w:style w:type="paragraph" w:styleId="70">
    <w:name w:val="List"/>
    <w:basedOn w:val="1"/>
    <w:uiPriority w:val="0"/>
    <w:pPr>
      <w:suppressAutoHyphens/>
      <w:spacing w:before="120" w:after="120"/>
      <w:jc w:val="both"/>
    </w:pPr>
    <w:rPr>
      <w:rFonts w:ascii="Times" w:hAnsi="Times" w:cs="Lucidasans"/>
      <w:lang w:eastAsia="ar-SA"/>
    </w:rPr>
  </w:style>
  <w:style w:type="paragraph" w:styleId="71">
    <w:name w:val="Normal (Web)"/>
    <w:basedOn w:val="1"/>
    <w:link w:val="700"/>
    <w:qFormat/>
    <w:uiPriority w:val="99"/>
    <w:pPr>
      <w:spacing w:before="100" w:beforeAutospacing="1" w:after="100" w:afterAutospacing="1"/>
    </w:pPr>
  </w:style>
  <w:style w:type="paragraph" w:styleId="72">
    <w:name w:val="Body Text 3"/>
    <w:basedOn w:val="1"/>
    <w:link w:val="190"/>
    <w:uiPriority w:val="99"/>
    <w:pPr>
      <w:spacing w:after="120"/>
    </w:pPr>
    <w:rPr>
      <w:sz w:val="16"/>
      <w:szCs w:val="16"/>
    </w:rPr>
  </w:style>
  <w:style w:type="paragraph" w:styleId="73">
    <w:name w:val="Body Text Indent 2"/>
    <w:basedOn w:val="1"/>
    <w:link w:val="152"/>
    <w:qFormat/>
    <w:uiPriority w:val="0"/>
    <w:pPr>
      <w:spacing w:after="120" w:line="480" w:lineRule="auto"/>
      <w:ind w:left="283"/>
    </w:pPr>
  </w:style>
  <w:style w:type="paragraph" w:styleId="74">
    <w:name w:val="Subtitle"/>
    <w:basedOn w:val="1"/>
    <w:link w:val="177"/>
    <w:qFormat/>
    <w:uiPriority w:val="0"/>
    <w:pPr>
      <w:jc w:val="center"/>
    </w:pPr>
    <w:rPr>
      <w:b/>
      <w:szCs w:val="20"/>
    </w:rPr>
  </w:style>
  <w:style w:type="paragraph" w:styleId="75">
    <w:name w:val="Signature"/>
    <w:basedOn w:val="1"/>
    <w:link w:val="784"/>
    <w:semiHidden/>
    <w:unhideWhenUsed/>
    <w:uiPriority w:val="99"/>
    <w:pPr>
      <w:ind w:left="4252"/>
    </w:pPr>
  </w:style>
  <w:style w:type="paragraph" w:styleId="76">
    <w:name w:val="Salutation"/>
    <w:basedOn w:val="1"/>
    <w:next w:val="1"/>
    <w:link w:val="785"/>
    <w:semiHidden/>
    <w:unhideWhenUsed/>
    <w:uiPriority w:val="99"/>
  </w:style>
  <w:style w:type="paragraph" w:styleId="77">
    <w:name w:val="List Continue 2"/>
    <w:basedOn w:val="1"/>
    <w:semiHidden/>
    <w:unhideWhenUsed/>
    <w:uiPriority w:val="99"/>
    <w:pPr>
      <w:spacing w:after="120"/>
      <w:ind w:left="566"/>
      <w:contextualSpacing/>
    </w:pPr>
  </w:style>
  <w:style w:type="paragraph" w:styleId="78">
    <w:name w:val="List Continue 3"/>
    <w:basedOn w:val="1"/>
    <w:semiHidden/>
    <w:unhideWhenUsed/>
    <w:uiPriority w:val="99"/>
    <w:pPr>
      <w:spacing w:after="120"/>
      <w:ind w:left="849"/>
      <w:contextualSpacing/>
    </w:pPr>
  </w:style>
  <w:style w:type="paragraph" w:styleId="79">
    <w:name w:val="List Continue 4"/>
    <w:basedOn w:val="1"/>
    <w:semiHidden/>
    <w:unhideWhenUsed/>
    <w:uiPriority w:val="99"/>
    <w:pPr>
      <w:spacing w:after="120"/>
      <w:ind w:left="1132"/>
      <w:contextualSpacing/>
    </w:pPr>
  </w:style>
  <w:style w:type="paragraph" w:styleId="80">
    <w:name w:val="List Continue 5"/>
    <w:basedOn w:val="1"/>
    <w:semiHidden/>
    <w:unhideWhenUsed/>
    <w:uiPriority w:val="99"/>
    <w:pPr>
      <w:spacing w:after="120"/>
      <w:ind w:left="1415"/>
      <w:contextualSpacing/>
    </w:pPr>
  </w:style>
  <w:style w:type="paragraph" w:styleId="81">
    <w:name w:val="List 2"/>
    <w:basedOn w:val="19"/>
    <w:uiPriority w:val="99"/>
    <w:pPr>
      <w:ind w:left="1211" w:firstLine="567"/>
      <w:jc w:val="both"/>
    </w:pPr>
    <w:rPr>
      <w:rFonts w:ascii="Arial" w:hAnsi="Arial"/>
      <w:sz w:val="28"/>
    </w:rPr>
  </w:style>
  <w:style w:type="paragraph" w:styleId="82">
    <w:name w:val="List 3"/>
    <w:basedOn w:val="1"/>
    <w:semiHidden/>
    <w:unhideWhenUsed/>
    <w:uiPriority w:val="99"/>
    <w:pPr>
      <w:ind w:left="849" w:hanging="283"/>
      <w:contextualSpacing/>
    </w:pPr>
  </w:style>
  <w:style w:type="paragraph" w:styleId="83">
    <w:name w:val="List 4"/>
    <w:basedOn w:val="1"/>
    <w:semiHidden/>
    <w:unhideWhenUsed/>
    <w:uiPriority w:val="99"/>
    <w:pPr>
      <w:ind w:left="1132" w:hanging="283"/>
      <w:contextualSpacing/>
    </w:pPr>
  </w:style>
  <w:style w:type="paragraph" w:styleId="84">
    <w:name w:val="HTML Preformatted"/>
    <w:basedOn w:val="1"/>
    <w:link w:val="12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paragraph" w:styleId="85">
    <w:name w:val="Block Text"/>
    <w:basedOn w:val="1"/>
    <w:qFormat/>
    <w:uiPriority w:val="0"/>
    <w:pPr>
      <w:spacing w:before="60"/>
      <w:ind w:left="180" w:right="-185"/>
      <w:jc w:val="center"/>
    </w:pPr>
    <w:rPr>
      <w:sz w:val="28"/>
      <w:szCs w:val="28"/>
    </w:rPr>
  </w:style>
  <w:style w:type="paragraph" w:styleId="86">
    <w:name w:val="Message Header"/>
    <w:basedOn w:val="1"/>
    <w:link w:val="787"/>
    <w:semiHidden/>
    <w:unhideWhenUsed/>
    <w:uiPriority w:val="99"/>
    <w:pPr>
      <w:pBdr>
        <w:top w:val="single" w:color="auto" w:sz="6" w:space="1"/>
        <w:left w:val="single" w:color="auto" w:sz="6" w:space="1"/>
        <w:bottom w:val="single" w:color="auto" w:sz="6" w:space="1"/>
        <w:right w:val="single" w:color="auto" w:sz="6" w:space="1"/>
      </w:pBdr>
      <w:shd w:val="pct20" w:color="auto" w:fill="auto"/>
      <w:ind w:left="1134" w:hanging="1134"/>
    </w:pPr>
    <w:rPr>
      <w:rFonts w:ascii="Cambria" w:hAnsi="Cambria"/>
    </w:rPr>
  </w:style>
  <w:style w:type="paragraph" w:styleId="87">
    <w:name w:val="E-mail Signature"/>
    <w:basedOn w:val="1"/>
    <w:link w:val="675"/>
    <w:uiPriority w:val="99"/>
    <w:rPr>
      <w:rFonts w:ascii="Arial" w:hAnsi="Arial"/>
      <w:szCs w:val="20"/>
    </w:rPr>
  </w:style>
  <w:style w:type="character" w:styleId="89">
    <w:name w:val="FollowedHyperlink"/>
    <w:unhideWhenUsed/>
    <w:qFormat/>
    <w:uiPriority w:val="99"/>
    <w:rPr>
      <w:color w:val="800080"/>
      <w:u w:val="single"/>
    </w:rPr>
  </w:style>
  <w:style w:type="character" w:styleId="90">
    <w:name w:val="footnote reference"/>
    <w:qFormat/>
    <w:uiPriority w:val="0"/>
    <w:rPr>
      <w:vertAlign w:val="superscript"/>
    </w:rPr>
  </w:style>
  <w:style w:type="character" w:styleId="91">
    <w:name w:val="annotation reference"/>
    <w:unhideWhenUsed/>
    <w:qFormat/>
    <w:uiPriority w:val="0"/>
    <w:rPr>
      <w:sz w:val="16"/>
      <w:szCs w:val="16"/>
    </w:rPr>
  </w:style>
  <w:style w:type="character" w:styleId="92">
    <w:name w:val="endnote reference"/>
    <w:qFormat/>
    <w:uiPriority w:val="99"/>
    <w:rPr>
      <w:vertAlign w:val="superscript"/>
    </w:rPr>
  </w:style>
  <w:style w:type="character" w:styleId="93">
    <w:name w:val="HTML Acronym"/>
    <w:basedOn w:val="88"/>
    <w:semiHidden/>
    <w:qFormat/>
    <w:uiPriority w:val="0"/>
  </w:style>
  <w:style w:type="character" w:styleId="94">
    <w:name w:val="Emphasis"/>
    <w:qFormat/>
    <w:uiPriority w:val="20"/>
    <w:rPr>
      <w:i/>
      <w:iCs/>
    </w:rPr>
  </w:style>
  <w:style w:type="character" w:styleId="95">
    <w:name w:val="Hyperlink"/>
    <w:qFormat/>
    <w:uiPriority w:val="99"/>
    <w:rPr>
      <w:color w:val="0000FF"/>
      <w:u w:val="single"/>
    </w:rPr>
  </w:style>
  <w:style w:type="character" w:styleId="96">
    <w:name w:val="page number"/>
    <w:basedOn w:val="88"/>
    <w:qFormat/>
    <w:uiPriority w:val="0"/>
  </w:style>
  <w:style w:type="character" w:styleId="97">
    <w:name w:val="line number"/>
    <w:uiPriority w:val="0"/>
  </w:style>
  <w:style w:type="character" w:styleId="98">
    <w:name w:val="Strong"/>
    <w:qFormat/>
    <w:uiPriority w:val="22"/>
    <w:rPr>
      <w:b/>
      <w:bCs/>
    </w:rPr>
  </w:style>
  <w:style w:type="character" w:styleId="99">
    <w:name w:val="HTML Cite"/>
    <w:semiHidden/>
    <w:uiPriority w:val="99"/>
    <w:rPr>
      <w:rFonts w:cs="Times New Roman"/>
      <w:i/>
      <w:iCs/>
    </w:rPr>
  </w:style>
  <w:style w:type="table" w:styleId="101">
    <w:name w:val="Table Grid 2"/>
    <w:basedOn w:val="100"/>
    <w:qFormat/>
    <w:uiPriority w:val="0"/>
    <w:rPr>
      <w:rFonts w:ascii="Times New Roman" w:hAnsi="Times New Roman" w:eastAsia="Times New Roman"/>
    </w:rPr>
    <w:tblPr>
      <w:tblBorders>
        <w:insideH w:val="single" w:color="000000" w:sz="6" w:space="0"/>
        <w:insideV w:val="single" w:color="000000" w:sz="6" w:space="0"/>
      </w:tblBorders>
      <w:tblLayout w:type="fixed"/>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02">
    <w:name w:val="Table Subtle 1"/>
    <w:basedOn w:val="100"/>
    <w:qFormat/>
    <w:uiPriority w:val="0"/>
    <w:rPr>
      <w:rFonts w:ascii="Times New Roman" w:hAnsi="Times New Roman" w:eastAsia="Times New Roman"/>
    </w:rPr>
    <w:tblPr>
      <w:tblStyleRowBandSize w:val="1"/>
      <w:tblLayout w:type="fixed"/>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3">
    <w:name w:val="Table Theme"/>
    <w:basedOn w:val="100"/>
    <w:uiPriority w:val="0"/>
    <w:pPr>
      <w:spacing w:line="360" w:lineRule="auto"/>
      <w:ind w:left="1080" w:firstLine="709"/>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04">
    <w:name w:val="Table Web 3"/>
    <w:basedOn w:val="100"/>
    <w:semiHidden/>
    <w:uiPriority w:val="0"/>
    <w:rPr>
      <w:rFonts w:ascii="Times New Roman" w:hAnsi="Times New Roman" w:eastAsia="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05">
    <w:name w:val="Table Grid"/>
    <w:basedOn w:val="100"/>
    <w:uiPriority w:val="3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06">
    <w:name w:val="Table Grid 5"/>
    <w:basedOn w:val="100"/>
    <w:uiPriority w:val="0"/>
    <w:rPr>
      <w:rFonts w:ascii="Times New Roman" w:hAnsi="Times New Roman"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07">
    <w:name w:val="Table Professional"/>
    <w:basedOn w:val="100"/>
    <w:uiPriority w:val="0"/>
    <w:rPr>
      <w:rFonts w:ascii="Times New Roman" w:hAnsi="Times New Roman"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table" w:styleId="108">
    <w:name w:val="Table Elegant"/>
    <w:basedOn w:val="100"/>
    <w:qFormat/>
    <w:uiPriority w:val="0"/>
    <w:rPr>
      <w:rFonts w:ascii="Times New Roman" w:hAnsi="Times New Roman"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109">
    <w:name w:val="Table Web 2"/>
    <w:basedOn w:val="100"/>
    <w:semiHidden/>
    <w:qFormat/>
    <w:uiPriority w:val="0"/>
    <w:rPr>
      <w:rFonts w:ascii="Times New Roman" w:hAnsi="Times New Roman"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10">
    <w:name w:val="Table Contemporary"/>
    <w:basedOn w:val="100"/>
    <w:qFormat/>
    <w:uiPriority w:val="0"/>
    <w:rPr>
      <w:rFonts w:ascii="Times New Roman" w:hAnsi="Times New Roman" w:eastAsia="Times New Roman"/>
    </w:rPr>
    <w:tblPr>
      <w:tblBorders>
        <w:insideH w:val="single" w:color="FFFFFF" w:sz="18" w:space="0"/>
        <w:insideV w:val="single" w:color="FFFFFF" w:sz="18" w:space="0"/>
      </w:tblBorders>
      <w:tblLayout w:type="fixed"/>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11">
    <w:name w:val="Table List 1"/>
    <w:basedOn w:val="100"/>
    <w:qFormat/>
    <w:uiPriority w:val="0"/>
    <w:rPr>
      <w:rFonts w:ascii="Times New Roman" w:hAnsi="Times New Roman" w:eastAsia="Times New Roman"/>
    </w:r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2">
    <w:name w:val="Table Web 1"/>
    <w:basedOn w:val="100"/>
    <w:semiHidden/>
    <w:qFormat/>
    <w:uiPriority w:val="0"/>
    <w:rPr>
      <w:rFonts w:ascii="Times New Roman" w:hAnsi="Times New Roman" w:eastAsia="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character" w:customStyle="1" w:styleId="113">
    <w:name w:val="Заголовок 1 Знак"/>
    <w:link w:val="2"/>
    <w:uiPriority w:val="0"/>
    <w:rPr>
      <w:rFonts w:ascii="Cambria" w:hAnsi="Cambria" w:eastAsia="Times New Roman"/>
      <w:b/>
      <w:bCs/>
      <w:color w:val="000000"/>
      <w:spacing w:val="20"/>
      <w:kern w:val="32"/>
      <w:sz w:val="34"/>
      <w:szCs w:val="34"/>
    </w:rPr>
  </w:style>
  <w:style w:type="character" w:customStyle="1" w:styleId="114">
    <w:name w:val="Заголовок 2 Знак"/>
    <w:link w:val="3"/>
    <w:uiPriority w:val="0"/>
    <w:rPr>
      <w:rFonts w:ascii="Arial" w:hAnsi="Arial" w:eastAsia="Times New Roman" w:cs="Arial"/>
      <w:b/>
      <w:bCs/>
      <w:i/>
      <w:iCs/>
      <w:sz w:val="28"/>
      <w:szCs w:val="28"/>
      <w:lang w:eastAsia="ru-RU"/>
    </w:rPr>
  </w:style>
  <w:style w:type="character" w:customStyle="1" w:styleId="115">
    <w:name w:val="Заголовок 3 Знак"/>
    <w:link w:val="4"/>
    <w:uiPriority w:val="35"/>
    <w:rPr>
      <w:rFonts w:ascii="Arial" w:hAnsi="Arial" w:eastAsia="Times New Roman" w:cs="Arial"/>
      <w:b/>
      <w:bCs/>
      <w:sz w:val="26"/>
      <w:szCs w:val="26"/>
      <w:lang w:eastAsia="ru-RU"/>
    </w:rPr>
  </w:style>
  <w:style w:type="character" w:customStyle="1" w:styleId="116">
    <w:name w:val="Заголовок 4 Знак"/>
    <w:link w:val="5"/>
    <w:uiPriority w:val="0"/>
    <w:rPr>
      <w:rFonts w:ascii="Times New Roman" w:hAnsi="Times New Roman" w:eastAsia="Times New Roman" w:cs="Times New Roman"/>
      <w:b/>
      <w:bCs/>
      <w:sz w:val="28"/>
      <w:szCs w:val="28"/>
      <w:lang w:eastAsia="ru-RU"/>
    </w:rPr>
  </w:style>
  <w:style w:type="character" w:customStyle="1" w:styleId="117">
    <w:name w:val="Заголовок 5 Знак"/>
    <w:link w:val="6"/>
    <w:qFormat/>
    <w:uiPriority w:val="0"/>
    <w:rPr>
      <w:rFonts w:ascii="Times New Roman" w:hAnsi="Times New Roman" w:eastAsia="Times New Roman" w:cs="Times New Roman"/>
      <w:b/>
      <w:bCs/>
      <w:i/>
      <w:iCs/>
      <w:sz w:val="26"/>
      <w:szCs w:val="26"/>
      <w:lang w:eastAsia="ru-RU"/>
    </w:rPr>
  </w:style>
  <w:style w:type="character" w:customStyle="1" w:styleId="118">
    <w:name w:val="Заголовок 8 Знак"/>
    <w:link w:val="9"/>
    <w:qFormat/>
    <w:uiPriority w:val="0"/>
    <w:rPr>
      <w:rFonts w:ascii="Times New Roman" w:hAnsi="Times New Roman" w:eastAsia="Times New Roman" w:cs="Times New Roman"/>
      <w:i/>
      <w:iCs/>
      <w:sz w:val="24"/>
      <w:szCs w:val="24"/>
      <w:lang w:eastAsia="ru-RU"/>
    </w:rPr>
  </w:style>
  <w:style w:type="character" w:customStyle="1" w:styleId="119">
    <w:name w:val="Заголовок 9 Знак"/>
    <w:link w:val="10"/>
    <w:uiPriority w:val="0"/>
    <w:rPr>
      <w:rFonts w:ascii="Arial" w:hAnsi="Arial" w:eastAsia="Times New Roman" w:cs="Arial"/>
      <w:lang w:eastAsia="ru-RU"/>
    </w:rPr>
  </w:style>
  <w:style w:type="character" w:customStyle="1" w:styleId="120">
    <w:name w:val="Нижний колонтитул Знак"/>
    <w:link w:val="67"/>
    <w:qFormat/>
    <w:uiPriority w:val="99"/>
    <w:rPr>
      <w:rFonts w:ascii="Times New Roman" w:hAnsi="Times New Roman" w:eastAsia="Times New Roman"/>
      <w:sz w:val="24"/>
      <w:szCs w:val="24"/>
    </w:rPr>
  </w:style>
  <w:style w:type="paragraph" w:customStyle="1" w:styleId="121">
    <w:name w:val="Основной"/>
    <w:basedOn w:val="1"/>
    <w:qFormat/>
    <w:uiPriority w:val="0"/>
    <w:pPr>
      <w:autoSpaceDE w:val="0"/>
      <w:autoSpaceDN w:val="0"/>
      <w:adjustRightInd w:val="0"/>
      <w:spacing w:after="20"/>
      <w:ind w:firstLine="142"/>
      <w:jc w:val="both"/>
    </w:pPr>
    <w:rPr>
      <w:rFonts w:cs="Arial"/>
      <w:sz w:val="22"/>
      <w:szCs w:val="20"/>
    </w:rPr>
  </w:style>
  <w:style w:type="character" w:customStyle="1" w:styleId="122">
    <w:name w:val="Верхний колонтитул Знак"/>
    <w:link w:val="36"/>
    <w:qFormat/>
    <w:uiPriority w:val="99"/>
    <w:rPr>
      <w:rFonts w:ascii="Times New Roman" w:hAnsi="Times New Roman" w:eastAsia="Times New Roman" w:cs="Times New Roman"/>
      <w:sz w:val="24"/>
      <w:szCs w:val="24"/>
      <w:lang w:eastAsia="ru-RU"/>
    </w:rPr>
  </w:style>
  <w:style w:type="paragraph" w:customStyle="1" w:styleId="123">
    <w:name w:val="Таблица_номер"/>
    <w:basedOn w:val="1"/>
    <w:qFormat/>
    <w:uiPriority w:val="0"/>
    <w:pPr>
      <w:keepNext/>
      <w:spacing w:line="360" w:lineRule="auto"/>
      <w:jc w:val="right"/>
    </w:pPr>
    <w:rPr>
      <w:sz w:val="28"/>
      <w:szCs w:val="28"/>
    </w:rPr>
  </w:style>
  <w:style w:type="paragraph" w:customStyle="1" w:styleId="124">
    <w:name w:val="Таблица_название"/>
    <w:basedOn w:val="1"/>
    <w:qFormat/>
    <w:uiPriority w:val="0"/>
    <w:pPr>
      <w:keepNext/>
      <w:jc w:val="center"/>
    </w:pPr>
    <w:rPr>
      <w:i/>
      <w:sz w:val="28"/>
      <w:szCs w:val="28"/>
    </w:rPr>
  </w:style>
  <w:style w:type="character" w:customStyle="1" w:styleId="125">
    <w:name w:val="Стандартный HTML Знак"/>
    <w:link w:val="84"/>
    <w:qFormat/>
    <w:uiPriority w:val="0"/>
    <w:rPr>
      <w:rFonts w:ascii="Courier New" w:hAnsi="Courier New" w:eastAsia="Times New Roman" w:cs="Times New Roman"/>
      <w:sz w:val="20"/>
      <w:szCs w:val="20"/>
      <w:lang w:eastAsia="ru-RU"/>
    </w:rPr>
  </w:style>
  <w:style w:type="character" w:customStyle="1" w:styleId="126">
    <w:name w:val="Знак Знак20"/>
    <w:semiHidden/>
    <w:locked/>
    <w:uiPriority w:val="0"/>
    <w:rPr>
      <w:lang w:val="ru-RU" w:eastAsia="ru-RU" w:bidi="ar-SA"/>
    </w:rPr>
  </w:style>
  <w:style w:type="character" w:customStyle="1" w:styleId="127">
    <w:name w:val="Текст концевой сноски Знак"/>
    <w:link w:val="21"/>
    <w:qFormat/>
    <w:uiPriority w:val="99"/>
    <w:rPr>
      <w:rFonts w:ascii="Times New Roman" w:hAnsi="Times New Roman" w:eastAsia="Times New Roman" w:cs="Times New Roman"/>
      <w:sz w:val="20"/>
      <w:szCs w:val="20"/>
      <w:lang w:eastAsia="ru-RU"/>
    </w:rPr>
  </w:style>
  <w:style w:type="character" w:customStyle="1" w:styleId="128">
    <w:name w:val="Адрес HTML Знак"/>
    <w:link w:val="31"/>
    <w:semiHidden/>
    <w:qFormat/>
    <w:uiPriority w:val="0"/>
    <w:rPr>
      <w:rFonts w:ascii="Times New Roman" w:hAnsi="Times New Roman" w:eastAsia="Times New Roman" w:cs="Times New Roman"/>
      <w:i/>
      <w:iCs/>
      <w:sz w:val="24"/>
      <w:szCs w:val="24"/>
      <w:lang w:eastAsia="ru-RU"/>
    </w:rPr>
  </w:style>
  <w:style w:type="character" w:styleId="129">
    <w:name w:val="Placeholder Text"/>
    <w:semiHidden/>
    <w:qFormat/>
    <w:uiPriority w:val="99"/>
    <w:rPr>
      <w:color w:val="808080"/>
    </w:rPr>
  </w:style>
  <w:style w:type="character" w:customStyle="1" w:styleId="130">
    <w:name w:val="Красная строка 2 Знак"/>
    <w:link w:val="60"/>
    <w:qFormat/>
    <w:uiPriority w:val="0"/>
    <w:rPr>
      <w:rFonts w:ascii="Times New Roman" w:hAnsi="Times New Roman" w:eastAsia="Times New Roman" w:cs="Times New Roman"/>
      <w:sz w:val="24"/>
      <w:szCs w:val="24"/>
      <w:lang w:eastAsia="ru-RU"/>
    </w:rPr>
  </w:style>
  <w:style w:type="character" w:customStyle="1" w:styleId="131">
    <w:name w:val="Текст сноски Знак1"/>
    <w:basedOn w:val="88"/>
    <w:semiHidden/>
    <w:qFormat/>
    <w:uiPriority w:val="0"/>
  </w:style>
  <w:style w:type="character" w:customStyle="1" w:styleId="132">
    <w:name w:val="Нижний колонтитул Знак1"/>
    <w:semiHidden/>
    <w:qFormat/>
    <w:uiPriority w:val="99"/>
    <w:rPr>
      <w:sz w:val="24"/>
      <w:szCs w:val="24"/>
    </w:rPr>
  </w:style>
  <w:style w:type="character" w:customStyle="1" w:styleId="133">
    <w:name w:val="Заголовок 6 Знак"/>
    <w:link w:val="7"/>
    <w:qFormat/>
    <w:uiPriority w:val="0"/>
    <w:rPr>
      <w:rFonts w:ascii="Times New Roman" w:hAnsi="Times New Roman" w:eastAsia="Times New Roman" w:cs="Times New Roman"/>
      <w:b/>
      <w:bCs/>
      <w:sz w:val="28"/>
      <w:szCs w:val="20"/>
      <w:lang w:eastAsia="ar-SA"/>
    </w:rPr>
  </w:style>
  <w:style w:type="paragraph" w:customStyle="1" w:styleId="134">
    <w:name w:val="Заголовок1"/>
    <w:basedOn w:val="1"/>
    <w:next w:val="1"/>
    <w:qFormat/>
    <w:uiPriority w:val="0"/>
    <w:pPr>
      <w:keepNext/>
      <w:suppressAutoHyphens/>
      <w:spacing w:before="240" w:after="120"/>
      <w:ind w:firstLine="709"/>
      <w:jc w:val="both"/>
    </w:pPr>
    <w:rPr>
      <w:rFonts w:ascii="Helvetica" w:hAnsi="Helvetica" w:eastAsia="HG Mincho Light J" w:cs="Lucidasans"/>
      <w:sz w:val="28"/>
      <w:szCs w:val="28"/>
      <w:lang w:eastAsia="ar-SA"/>
    </w:rPr>
  </w:style>
  <w:style w:type="paragraph" w:customStyle="1" w:styleId="135">
    <w:name w:val="Оглавление 10"/>
    <w:basedOn w:val="1"/>
    <w:qFormat/>
    <w:uiPriority w:val="0"/>
    <w:pPr>
      <w:suppressLineNumbers/>
      <w:tabs>
        <w:tab w:val="right" w:leader="dot" w:pos="9637"/>
      </w:tabs>
      <w:suppressAutoHyphens/>
      <w:spacing w:before="120" w:after="120"/>
      <w:ind w:left="2547"/>
      <w:jc w:val="both"/>
    </w:pPr>
    <w:rPr>
      <w:rFonts w:ascii="Times" w:hAnsi="Times" w:cs="Lucidasans"/>
      <w:lang w:eastAsia="ar-SA"/>
    </w:rPr>
  </w:style>
  <w:style w:type="character" w:customStyle="1" w:styleId="136">
    <w:name w:val="Текст Знак"/>
    <w:link w:val="19"/>
    <w:qFormat/>
    <w:uiPriority w:val="99"/>
    <w:rPr>
      <w:rFonts w:ascii="Courier New" w:hAnsi="Courier New" w:eastAsia="Times New Roman" w:cs="Courier New"/>
      <w:sz w:val="20"/>
      <w:szCs w:val="20"/>
    </w:rPr>
  </w:style>
  <w:style w:type="paragraph" w:customStyle="1" w:styleId="137">
    <w:name w:val="TOC Heading"/>
    <w:basedOn w:val="2"/>
    <w:next w:val="1"/>
    <w:unhideWhenUsed/>
    <w:qFormat/>
    <w:uiPriority w:val="39"/>
    <w:pPr>
      <w:keepLines/>
      <w:spacing w:before="480" w:after="0" w:line="276" w:lineRule="auto"/>
      <w:jc w:val="left"/>
      <w:outlineLvl w:val="9"/>
    </w:pPr>
    <w:rPr>
      <w:color w:val="365F91"/>
      <w:kern w:val="0"/>
      <w:sz w:val="28"/>
      <w:szCs w:val="28"/>
      <w:lang w:eastAsia="en-US"/>
    </w:rPr>
  </w:style>
  <w:style w:type="character" w:customStyle="1" w:styleId="138">
    <w:name w:val="Заголовок 7 Знак"/>
    <w:link w:val="8"/>
    <w:qFormat/>
    <w:uiPriority w:val="9"/>
    <w:rPr>
      <w:rFonts w:ascii="Times New Roman" w:hAnsi="Times New Roman" w:eastAsia="Times New Roman" w:cs="Times New Roman"/>
      <w:sz w:val="28"/>
      <w:szCs w:val="20"/>
      <w:lang w:eastAsia="ru-RU"/>
    </w:rPr>
  </w:style>
  <w:style w:type="character" w:customStyle="1" w:styleId="139">
    <w:name w:val="Знак Знак202"/>
    <w:semiHidden/>
    <w:qFormat/>
    <w:uiPriority w:val="0"/>
    <w:rPr>
      <w:lang w:val="ru-RU" w:eastAsia="ru-RU" w:bidi="ar-SA"/>
    </w:rPr>
  </w:style>
  <w:style w:type="character" w:customStyle="1" w:styleId="140">
    <w:name w:val="Знак Знак201"/>
    <w:semiHidden/>
    <w:qFormat/>
    <w:uiPriority w:val="0"/>
    <w:rPr>
      <w:lang w:val="ru-RU" w:eastAsia="ru-RU" w:bidi="ar-SA"/>
    </w:rPr>
  </w:style>
  <w:style w:type="paragraph" w:customStyle="1" w:styleId="141">
    <w:name w:val="HTML Top of Form"/>
    <w:basedOn w:val="1"/>
    <w:next w:val="1"/>
    <w:link w:val="142"/>
    <w:semiHidden/>
    <w:unhideWhenUsed/>
    <w:qFormat/>
    <w:uiPriority w:val="99"/>
    <w:pPr>
      <w:pBdr>
        <w:bottom w:val="single" w:color="auto" w:sz="6" w:space="1"/>
      </w:pBdr>
      <w:jc w:val="center"/>
    </w:pPr>
    <w:rPr>
      <w:rFonts w:ascii="Arial" w:hAnsi="Arial"/>
      <w:vanish/>
      <w:sz w:val="16"/>
      <w:szCs w:val="16"/>
    </w:rPr>
  </w:style>
  <w:style w:type="character" w:customStyle="1" w:styleId="142">
    <w:name w:val="z-Начало формы Знак"/>
    <w:link w:val="141"/>
    <w:semiHidden/>
    <w:qFormat/>
    <w:uiPriority w:val="99"/>
    <w:rPr>
      <w:rFonts w:ascii="Arial" w:hAnsi="Arial" w:eastAsia="Times New Roman" w:cs="Arial"/>
      <w:vanish/>
      <w:sz w:val="16"/>
      <w:szCs w:val="16"/>
      <w:lang w:eastAsia="ru-RU"/>
    </w:rPr>
  </w:style>
  <w:style w:type="paragraph" w:customStyle="1" w:styleId="143">
    <w:name w:val="HTML Bottom of Form"/>
    <w:basedOn w:val="1"/>
    <w:next w:val="1"/>
    <w:link w:val="144"/>
    <w:unhideWhenUsed/>
    <w:qFormat/>
    <w:uiPriority w:val="99"/>
    <w:pPr>
      <w:pBdr>
        <w:top w:val="single" w:color="auto" w:sz="6" w:space="1"/>
      </w:pBdr>
      <w:jc w:val="center"/>
    </w:pPr>
    <w:rPr>
      <w:rFonts w:ascii="Arial" w:hAnsi="Arial"/>
      <w:vanish/>
      <w:sz w:val="16"/>
      <w:szCs w:val="16"/>
    </w:rPr>
  </w:style>
  <w:style w:type="character" w:customStyle="1" w:styleId="144">
    <w:name w:val="z-Конец формы Знак"/>
    <w:link w:val="143"/>
    <w:qFormat/>
    <w:uiPriority w:val="99"/>
    <w:rPr>
      <w:rFonts w:ascii="Arial" w:hAnsi="Arial" w:eastAsia="Times New Roman" w:cs="Arial"/>
      <w:vanish/>
      <w:sz w:val="16"/>
      <w:szCs w:val="16"/>
      <w:lang w:eastAsia="ru-RU"/>
    </w:rPr>
  </w:style>
  <w:style w:type="character" w:customStyle="1" w:styleId="145">
    <w:name w:val="Схема документа Знак"/>
    <w:link w:val="26"/>
    <w:qFormat/>
    <w:uiPriority w:val="99"/>
    <w:rPr>
      <w:rFonts w:ascii="Tahoma" w:hAnsi="Tahoma" w:eastAsia="Times New Roman" w:cs="Tahoma"/>
      <w:sz w:val="16"/>
      <w:szCs w:val="16"/>
    </w:rPr>
  </w:style>
  <w:style w:type="character" w:customStyle="1" w:styleId="146">
    <w:name w:val="Текст выноски Знак"/>
    <w:link w:val="11"/>
    <w:qFormat/>
    <w:uiPriority w:val="99"/>
    <w:rPr>
      <w:rFonts w:ascii="Tahoma" w:hAnsi="Tahoma" w:eastAsia="Times New Roman" w:cs="Tahoma"/>
      <w:sz w:val="16"/>
      <w:szCs w:val="16"/>
    </w:rPr>
  </w:style>
  <w:style w:type="character" w:customStyle="1" w:styleId="147">
    <w:name w:val="Текст сноски Знак"/>
    <w:link w:val="27"/>
    <w:qFormat/>
    <w:uiPriority w:val="0"/>
    <w:rPr>
      <w:rFonts w:ascii="Times New Roman" w:hAnsi="Times New Roman" w:eastAsia="Times New Roman"/>
    </w:rPr>
  </w:style>
  <w:style w:type="character" w:customStyle="1" w:styleId="148">
    <w:name w:val="Текст примечания Знак"/>
    <w:link w:val="23"/>
    <w:qFormat/>
    <w:uiPriority w:val="0"/>
    <w:rPr>
      <w:rFonts w:ascii="Times New Roman" w:hAnsi="Times New Roman" w:eastAsia="Times New Roman"/>
    </w:rPr>
  </w:style>
  <w:style w:type="character" w:customStyle="1" w:styleId="149">
    <w:name w:val="Тема примечания Знак"/>
    <w:link w:val="25"/>
    <w:qFormat/>
    <w:uiPriority w:val="0"/>
    <w:rPr>
      <w:rFonts w:ascii="Times New Roman" w:hAnsi="Times New Roman" w:eastAsia="Times New Roman"/>
      <w:b/>
      <w:bCs/>
    </w:rPr>
  </w:style>
  <w:style w:type="character" w:customStyle="1" w:styleId="150">
    <w:name w:val="apple-converted-space"/>
    <w:basedOn w:val="88"/>
    <w:qFormat/>
    <w:uiPriority w:val="0"/>
  </w:style>
  <w:style w:type="character" w:customStyle="1" w:styleId="151">
    <w:name w:val="Основной текст с отступом 2 Знак"/>
    <w:qFormat/>
    <w:uiPriority w:val="0"/>
    <w:rPr>
      <w:rFonts w:ascii="Times New Roman" w:hAnsi="Times New Roman" w:eastAsia="Times New Roman"/>
      <w:sz w:val="24"/>
      <w:szCs w:val="24"/>
    </w:rPr>
  </w:style>
  <w:style w:type="character" w:customStyle="1" w:styleId="152">
    <w:name w:val="Основной текст с отступом 2 Знак2"/>
    <w:link w:val="73"/>
    <w:qFormat/>
    <w:uiPriority w:val="0"/>
    <w:rPr>
      <w:rFonts w:ascii="Times New Roman" w:hAnsi="Times New Roman" w:eastAsia="Times New Roman"/>
      <w:sz w:val="24"/>
      <w:szCs w:val="24"/>
    </w:rPr>
  </w:style>
  <w:style w:type="paragraph" w:customStyle="1" w:styleId="153">
    <w:name w:val="ConsPlusNormal"/>
    <w:qFormat/>
    <w:uiPriority w:val="0"/>
    <w:pPr>
      <w:autoSpaceDE w:val="0"/>
      <w:autoSpaceDN w:val="0"/>
      <w:adjustRightInd w:val="0"/>
      <w:ind w:firstLine="720"/>
    </w:pPr>
    <w:rPr>
      <w:rFonts w:ascii="Verdana" w:hAnsi="Verdana" w:eastAsia="Times New Roman" w:cs="Verdana"/>
      <w:sz w:val="16"/>
      <w:szCs w:val="16"/>
      <w:lang w:val="ru-RU" w:eastAsia="ru-RU" w:bidi="ar-SA"/>
    </w:rPr>
  </w:style>
  <w:style w:type="paragraph" w:styleId="154">
    <w:name w:val="List Paragraph"/>
    <w:basedOn w:val="1"/>
    <w:link w:val="544"/>
    <w:qFormat/>
    <w:uiPriority w:val="34"/>
    <w:pPr>
      <w:ind w:left="720"/>
      <w:contextualSpacing/>
    </w:pPr>
  </w:style>
  <w:style w:type="paragraph" w:customStyle="1" w:styleId="155">
    <w:name w:val="xl69"/>
    <w:basedOn w:val="1"/>
    <w:qFormat/>
    <w:uiPriority w:val="0"/>
    <w:pPr>
      <w:spacing w:before="100" w:beforeAutospacing="1" w:after="100" w:afterAutospacing="1"/>
    </w:pPr>
    <w:rPr>
      <w:sz w:val="18"/>
      <w:szCs w:val="18"/>
    </w:rPr>
  </w:style>
  <w:style w:type="paragraph" w:customStyle="1" w:styleId="15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18"/>
      <w:szCs w:val="18"/>
    </w:rPr>
  </w:style>
  <w:style w:type="paragraph" w:customStyle="1" w:styleId="15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18"/>
      <w:szCs w:val="18"/>
    </w:rPr>
  </w:style>
  <w:style w:type="paragraph" w:customStyle="1" w:styleId="158">
    <w:name w:val="xl72"/>
    <w:basedOn w:val="1"/>
    <w:qFormat/>
    <w:uiPriority w:val="0"/>
    <w:pPr>
      <w:spacing w:before="100" w:beforeAutospacing="1" w:after="100" w:afterAutospacing="1"/>
    </w:pPr>
    <w:rPr>
      <w:b/>
      <w:bCs/>
      <w:sz w:val="18"/>
      <w:szCs w:val="18"/>
    </w:rPr>
  </w:style>
  <w:style w:type="paragraph" w:customStyle="1" w:styleId="159">
    <w:name w:val="xl73"/>
    <w:basedOn w:val="1"/>
    <w:qFormat/>
    <w:uiPriority w:val="0"/>
    <w:pPr>
      <w:pBdr>
        <w:top w:val="single" w:color="auto" w:sz="4" w:space="0"/>
        <w:left w:val="single" w:color="auto" w:sz="4" w:space="0"/>
        <w:bottom w:val="single" w:color="auto" w:sz="4" w:space="0"/>
      </w:pBdr>
      <w:spacing w:before="100" w:beforeAutospacing="1" w:after="100" w:afterAutospacing="1"/>
    </w:pPr>
    <w:rPr>
      <w:b/>
      <w:bCs/>
      <w:sz w:val="18"/>
      <w:szCs w:val="18"/>
    </w:rPr>
  </w:style>
  <w:style w:type="paragraph" w:customStyle="1" w:styleId="160">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18"/>
      <w:szCs w:val="18"/>
    </w:rPr>
  </w:style>
  <w:style w:type="paragraph" w:customStyle="1" w:styleId="16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18"/>
      <w:szCs w:val="18"/>
    </w:rPr>
  </w:style>
  <w:style w:type="paragraph" w:customStyle="1" w:styleId="162">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8"/>
      <w:szCs w:val="18"/>
    </w:rPr>
  </w:style>
  <w:style w:type="paragraph" w:customStyle="1" w:styleId="163">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8"/>
      <w:szCs w:val="18"/>
    </w:rPr>
  </w:style>
  <w:style w:type="paragraph" w:customStyle="1" w:styleId="16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18"/>
      <w:szCs w:val="18"/>
    </w:rPr>
  </w:style>
  <w:style w:type="paragraph" w:customStyle="1" w:styleId="16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sz w:val="18"/>
      <w:szCs w:val="18"/>
    </w:rPr>
  </w:style>
  <w:style w:type="paragraph" w:customStyle="1" w:styleId="16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167">
    <w:name w:val="xl8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sz w:val="18"/>
      <w:szCs w:val="18"/>
    </w:rPr>
  </w:style>
  <w:style w:type="paragraph" w:customStyle="1" w:styleId="168">
    <w:name w:val="Default"/>
    <w:link w:val="538"/>
    <w:qForma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character" w:customStyle="1" w:styleId="169">
    <w:name w:val="Основной текст Знак"/>
    <w:link w:val="42"/>
    <w:qFormat/>
    <w:uiPriority w:val="0"/>
    <w:rPr>
      <w:rFonts w:ascii="Times New Roman" w:hAnsi="Times New Roman" w:eastAsia="Times New Roman"/>
      <w:b/>
      <w:bCs/>
      <w:sz w:val="24"/>
      <w:szCs w:val="24"/>
    </w:rPr>
  </w:style>
  <w:style w:type="character" w:customStyle="1" w:styleId="170">
    <w:name w:val="Основной текст 2 Знак"/>
    <w:link w:val="14"/>
    <w:qFormat/>
    <w:uiPriority w:val="0"/>
    <w:rPr>
      <w:rFonts w:ascii="Times New Roman" w:hAnsi="Times New Roman" w:eastAsia="Times New Roman"/>
      <w:sz w:val="24"/>
    </w:rPr>
  </w:style>
  <w:style w:type="paragraph" w:customStyle="1" w:styleId="171">
    <w:name w:val="ConsNormal"/>
    <w:qFormat/>
    <w:uiPriority w:val="0"/>
    <w:pPr>
      <w:widowControl w:val="0"/>
      <w:autoSpaceDE w:val="0"/>
      <w:autoSpaceDN w:val="0"/>
      <w:adjustRightInd w:val="0"/>
      <w:ind w:right="19772" w:firstLine="720"/>
    </w:pPr>
    <w:rPr>
      <w:rFonts w:ascii="Arial" w:hAnsi="Arial" w:eastAsia="Times New Roman" w:cs="Arial"/>
      <w:lang w:val="ru-RU" w:eastAsia="ru-RU" w:bidi="ar-SA"/>
    </w:rPr>
  </w:style>
  <w:style w:type="paragraph" w:customStyle="1" w:styleId="172">
    <w:name w:val="ConsNonformat"/>
    <w:qFormat/>
    <w:uiPriority w:val="0"/>
    <w:pPr>
      <w:widowControl w:val="0"/>
      <w:autoSpaceDE w:val="0"/>
      <w:autoSpaceDN w:val="0"/>
      <w:adjustRightInd w:val="0"/>
    </w:pPr>
    <w:rPr>
      <w:rFonts w:ascii="Courier New" w:hAnsi="Courier New" w:eastAsia="Times New Roman" w:cs="Courier New"/>
      <w:lang w:val="ru-RU" w:eastAsia="ru-RU" w:bidi="ar-SA"/>
    </w:rPr>
  </w:style>
  <w:style w:type="paragraph" w:customStyle="1" w:styleId="173">
    <w:name w:val="Таблица"/>
    <w:basedOn w:val="1"/>
    <w:link w:val="667"/>
    <w:qFormat/>
    <w:uiPriority w:val="99"/>
    <w:pPr>
      <w:overflowPunct w:val="0"/>
      <w:autoSpaceDE w:val="0"/>
      <w:autoSpaceDN w:val="0"/>
      <w:adjustRightInd w:val="0"/>
      <w:ind w:right="34"/>
      <w:textAlignment w:val="baseline"/>
    </w:pPr>
    <w:rPr>
      <w:sz w:val="20"/>
      <w:szCs w:val="20"/>
    </w:rPr>
  </w:style>
  <w:style w:type="character" w:customStyle="1" w:styleId="174">
    <w:name w:val="Основной текст с отступом Знак"/>
    <w:link w:val="62"/>
    <w:qFormat/>
    <w:uiPriority w:val="0"/>
    <w:rPr>
      <w:rFonts w:ascii="Times New Roman" w:hAnsi="Times New Roman" w:eastAsia="Times New Roman"/>
      <w:sz w:val="24"/>
      <w:szCs w:val="24"/>
    </w:rPr>
  </w:style>
  <w:style w:type="paragraph" w:customStyle="1" w:styleId="175">
    <w:name w:val="ConsCell"/>
    <w:qFormat/>
    <w:uiPriority w:val="0"/>
    <w:pPr>
      <w:widowControl w:val="0"/>
      <w:autoSpaceDE w:val="0"/>
      <w:autoSpaceDN w:val="0"/>
      <w:adjustRightInd w:val="0"/>
      <w:ind w:right="19772"/>
    </w:pPr>
    <w:rPr>
      <w:rFonts w:ascii="Arial" w:hAnsi="Arial" w:eastAsia="Times New Roman" w:cs="Arial"/>
      <w:lang w:val="ru-RU" w:eastAsia="ru-RU" w:bidi="ar-SA"/>
    </w:rPr>
  </w:style>
  <w:style w:type="character" w:customStyle="1" w:styleId="176">
    <w:name w:val="Название Знак"/>
    <w:link w:val="66"/>
    <w:qFormat/>
    <w:uiPriority w:val="0"/>
    <w:rPr>
      <w:rFonts w:ascii="Times New Roman" w:hAnsi="Times New Roman" w:eastAsia="Times New Roman"/>
      <w:b/>
      <w:bCs/>
      <w:sz w:val="24"/>
      <w:szCs w:val="24"/>
    </w:rPr>
  </w:style>
  <w:style w:type="character" w:customStyle="1" w:styleId="177">
    <w:name w:val="Подзаголовок Знак"/>
    <w:link w:val="74"/>
    <w:uiPriority w:val="0"/>
    <w:rPr>
      <w:rFonts w:ascii="Times New Roman" w:hAnsi="Times New Roman" w:eastAsia="Times New Roman"/>
      <w:b/>
      <w:sz w:val="24"/>
    </w:rPr>
  </w:style>
  <w:style w:type="character" w:customStyle="1" w:styleId="178">
    <w:name w:val="Основной текст с отступом 3 Знак"/>
    <w:link w:val="20"/>
    <w:uiPriority w:val="0"/>
    <w:rPr>
      <w:rFonts w:ascii="Times New Roman" w:hAnsi="Times New Roman" w:eastAsia="Times New Roman"/>
      <w:sz w:val="16"/>
      <w:szCs w:val="16"/>
    </w:rPr>
  </w:style>
  <w:style w:type="paragraph" w:customStyle="1" w:styleId="179">
    <w:name w:val="Маркирован-1"/>
    <w:basedOn w:val="1"/>
    <w:qFormat/>
    <w:uiPriority w:val="0"/>
    <w:pPr>
      <w:tabs>
        <w:tab w:val="left" w:pos="720"/>
        <w:tab w:val="left" w:pos="900"/>
        <w:tab w:val="left" w:pos="1211"/>
      </w:tabs>
      <w:spacing w:line="360" w:lineRule="auto"/>
      <w:ind w:left="900" w:hanging="283"/>
      <w:jc w:val="both"/>
    </w:pPr>
  </w:style>
  <w:style w:type="paragraph" w:customStyle="1" w:styleId="180">
    <w:name w:val="ConsTitle"/>
    <w:qFormat/>
    <w:uiPriority w:val="0"/>
    <w:pPr>
      <w:widowControl w:val="0"/>
      <w:autoSpaceDE w:val="0"/>
      <w:autoSpaceDN w:val="0"/>
      <w:adjustRightInd w:val="0"/>
      <w:ind w:right="19772"/>
    </w:pPr>
    <w:rPr>
      <w:rFonts w:ascii="Arial" w:hAnsi="Arial" w:eastAsia="Times New Roman" w:cs="Arial"/>
      <w:b/>
      <w:bCs/>
      <w:lang w:val="ru-RU" w:eastAsia="ru-RU" w:bidi="ar-SA"/>
    </w:rPr>
  </w:style>
  <w:style w:type="paragraph" w:customStyle="1" w:styleId="181">
    <w:name w:val="Список_маркир.1"/>
    <w:basedOn w:val="1"/>
    <w:qFormat/>
    <w:uiPriority w:val="0"/>
    <w:pPr>
      <w:tabs>
        <w:tab w:val="left" w:pos="1021"/>
      </w:tabs>
      <w:spacing w:line="360" w:lineRule="auto"/>
      <w:ind w:firstLine="567"/>
      <w:jc w:val="both"/>
    </w:pPr>
  </w:style>
  <w:style w:type="paragraph" w:customStyle="1" w:styleId="182">
    <w:name w:val="Список_маркир.2"/>
    <w:basedOn w:val="1"/>
    <w:qFormat/>
    <w:uiPriority w:val="0"/>
    <w:pPr>
      <w:tabs>
        <w:tab w:val="left" w:pos="1021"/>
      </w:tabs>
      <w:spacing w:line="360" w:lineRule="auto"/>
      <w:ind w:firstLine="567"/>
      <w:jc w:val="both"/>
    </w:pPr>
  </w:style>
  <w:style w:type="paragraph" w:customStyle="1" w:styleId="183">
    <w:name w:val="Стиль Century Gothic 9 pt по ширине Слева:  -007 см После:  3 ..."/>
    <w:basedOn w:val="1"/>
    <w:qFormat/>
    <w:uiPriority w:val="0"/>
    <w:pPr>
      <w:spacing w:after="60"/>
      <w:jc w:val="both"/>
    </w:pPr>
    <w:rPr>
      <w:rFonts w:ascii="Century Gothic" w:hAnsi="Century Gothic" w:cs="Century Gothic"/>
      <w:sz w:val="18"/>
      <w:szCs w:val="18"/>
    </w:rPr>
  </w:style>
  <w:style w:type="paragraph" w:customStyle="1" w:styleId="184">
    <w:name w:val="font5"/>
    <w:basedOn w:val="1"/>
    <w:qFormat/>
    <w:uiPriority w:val="0"/>
    <w:pPr>
      <w:spacing w:before="100" w:beforeAutospacing="1" w:after="100" w:afterAutospacing="1"/>
    </w:pPr>
    <w:rPr>
      <w:rFonts w:ascii="Tahoma" w:hAnsi="Tahoma" w:cs="Tahoma"/>
      <w:color w:val="000000"/>
      <w:sz w:val="16"/>
      <w:szCs w:val="16"/>
    </w:rPr>
  </w:style>
  <w:style w:type="paragraph" w:customStyle="1" w:styleId="185">
    <w:name w:val="font6"/>
    <w:basedOn w:val="1"/>
    <w:qFormat/>
    <w:uiPriority w:val="0"/>
    <w:pPr>
      <w:spacing w:before="100" w:beforeAutospacing="1" w:after="100" w:afterAutospacing="1"/>
    </w:pPr>
    <w:rPr>
      <w:rFonts w:ascii="Tahoma" w:hAnsi="Tahoma" w:cs="Tahoma"/>
      <w:b/>
      <w:bCs/>
      <w:color w:val="000000"/>
      <w:sz w:val="16"/>
      <w:szCs w:val="16"/>
    </w:rPr>
  </w:style>
  <w:style w:type="character" w:customStyle="1" w:styleId="186">
    <w:name w:val="Знак Знак29"/>
    <w:uiPriority w:val="0"/>
    <w:rPr>
      <w:rFonts w:ascii="Arial" w:hAnsi="Arial" w:cs="Arial"/>
      <w:b/>
      <w:bCs/>
      <w:sz w:val="26"/>
      <w:szCs w:val="26"/>
      <w:lang w:val="ru-RU" w:eastAsia="ru-RU" w:bidi="ar-SA"/>
    </w:rPr>
  </w:style>
  <w:style w:type="paragraph" w:customStyle="1" w:styleId="187">
    <w:name w:val="Основной текст 31"/>
    <w:basedOn w:val="1"/>
    <w:qFormat/>
    <w:uiPriority w:val="0"/>
    <w:pPr>
      <w:widowControl w:val="0"/>
      <w:jc w:val="both"/>
    </w:pPr>
    <w:rPr>
      <w:szCs w:val="20"/>
    </w:rPr>
  </w:style>
  <w:style w:type="character" w:customStyle="1" w:styleId="188">
    <w:name w:val="Знак Знак21"/>
    <w:uiPriority w:val="0"/>
    <w:rPr>
      <w:sz w:val="24"/>
      <w:szCs w:val="24"/>
      <w:lang w:val="ru-RU" w:eastAsia="ru-RU" w:bidi="ar-SA"/>
    </w:rPr>
  </w:style>
  <w:style w:type="paragraph" w:customStyle="1" w:styleId="189">
    <w:name w:val="Обычный 14"/>
    <w:basedOn w:val="1"/>
    <w:qFormat/>
    <w:uiPriority w:val="0"/>
    <w:pPr>
      <w:spacing w:line="360" w:lineRule="auto"/>
      <w:ind w:firstLine="709"/>
      <w:jc w:val="both"/>
    </w:pPr>
    <w:rPr>
      <w:sz w:val="28"/>
    </w:rPr>
  </w:style>
  <w:style w:type="character" w:customStyle="1" w:styleId="190">
    <w:name w:val="Основной текст 3 Знак"/>
    <w:link w:val="72"/>
    <w:uiPriority w:val="99"/>
    <w:rPr>
      <w:rFonts w:ascii="Times New Roman" w:hAnsi="Times New Roman" w:eastAsia="Times New Roman"/>
      <w:sz w:val="16"/>
      <w:szCs w:val="16"/>
    </w:rPr>
  </w:style>
  <w:style w:type="paragraph" w:customStyle="1" w:styleId="191">
    <w:name w:val="ConsPlusTitle"/>
    <w:qFormat/>
    <w:uiPriority w:val="0"/>
    <w:pPr>
      <w:autoSpaceDE w:val="0"/>
      <w:autoSpaceDN w:val="0"/>
      <w:adjustRightInd w:val="0"/>
    </w:pPr>
    <w:rPr>
      <w:rFonts w:ascii="Times New Roman" w:hAnsi="Times New Roman" w:eastAsia="Times New Roman" w:cs="Times New Roman"/>
      <w:b/>
      <w:bCs/>
      <w:sz w:val="24"/>
      <w:szCs w:val="24"/>
      <w:lang w:val="ru-RU" w:eastAsia="ru-RU" w:bidi="ar-SA"/>
    </w:rPr>
  </w:style>
  <w:style w:type="paragraph" w:customStyle="1" w:styleId="192">
    <w:name w:val="Табличный"/>
    <w:basedOn w:val="1"/>
    <w:qFormat/>
    <w:uiPriority w:val="0"/>
    <w:pPr>
      <w:keepLines/>
      <w:suppressAutoHyphens/>
      <w:jc w:val="both"/>
    </w:pPr>
    <w:rPr>
      <w:rFonts w:ascii="Century Gothic" w:hAnsi="Century Gothic" w:cs="Century Gothic"/>
      <w:sz w:val="18"/>
      <w:szCs w:val="18"/>
    </w:rPr>
  </w:style>
  <w:style w:type="paragraph" w:customStyle="1" w:styleId="193">
    <w:name w:val="font7"/>
    <w:basedOn w:val="1"/>
    <w:qFormat/>
    <w:uiPriority w:val="0"/>
    <w:pPr>
      <w:spacing w:before="100" w:beforeAutospacing="1" w:after="100" w:afterAutospacing="1"/>
    </w:pPr>
    <w:rPr>
      <w:rFonts w:ascii="Tahoma" w:hAnsi="Tahoma" w:cs="Tahoma"/>
      <w:color w:val="000000"/>
      <w:sz w:val="16"/>
      <w:szCs w:val="16"/>
    </w:rPr>
  </w:style>
  <w:style w:type="paragraph" w:customStyle="1" w:styleId="194">
    <w:name w:val="font8"/>
    <w:basedOn w:val="1"/>
    <w:qFormat/>
    <w:uiPriority w:val="0"/>
    <w:pPr>
      <w:spacing w:before="100" w:beforeAutospacing="1" w:after="100" w:afterAutospacing="1"/>
    </w:pPr>
    <w:rPr>
      <w:rFonts w:ascii="Tahoma" w:hAnsi="Tahoma" w:cs="Tahoma"/>
      <w:b/>
      <w:bCs/>
      <w:color w:val="000000"/>
      <w:sz w:val="16"/>
      <w:szCs w:val="16"/>
    </w:rPr>
  </w:style>
  <w:style w:type="paragraph" w:customStyle="1" w:styleId="195">
    <w:name w:val="xl65"/>
    <w:basedOn w:val="1"/>
    <w:qFormat/>
    <w:uiPriority w:val="0"/>
    <w:pPr>
      <w:spacing w:before="100" w:beforeAutospacing="1" w:after="100" w:afterAutospacing="1"/>
    </w:pPr>
    <w:rPr>
      <w:sz w:val="20"/>
      <w:szCs w:val="20"/>
    </w:rPr>
  </w:style>
  <w:style w:type="paragraph" w:customStyle="1" w:styleId="196">
    <w:name w:val="xl66"/>
    <w:basedOn w:val="1"/>
    <w:qFormat/>
    <w:uiPriority w:val="0"/>
    <w:pPr>
      <w:spacing w:before="100" w:beforeAutospacing="1" w:after="100" w:afterAutospacing="1"/>
    </w:pPr>
    <w:rPr>
      <w:sz w:val="20"/>
      <w:szCs w:val="20"/>
    </w:rPr>
  </w:style>
  <w:style w:type="paragraph" w:customStyle="1" w:styleId="197">
    <w:name w:val="xl6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pPr>
    <w:rPr>
      <w:sz w:val="20"/>
      <w:szCs w:val="20"/>
    </w:rPr>
  </w:style>
  <w:style w:type="paragraph" w:customStyle="1" w:styleId="198">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99">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0">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1">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2">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3">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04">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05">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0"/>
      <w:szCs w:val="20"/>
    </w:rPr>
  </w:style>
  <w:style w:type="paragraph" w:customStyle="1" w:styleId="206">
    <w:name w:val="xl89"/>
    <w:basedOn w:val="1"/>
    <w:qFormat/>
    <w:uiPriority w:val="0"/>
    <w:pPr>
      <w:spacing w:before="100" w:beforeAutospacing="1" w:after="100" w:afterAutospacing="1"/>
      <w:textAlignment w:val="center"/>
    </w:pPr>
    <w:rPr>
      <w:sz w:val="20"/>
      <w:szCs w:val="20"/>
    </w:rPr>
  </w:style>
  <w:style w:type="paragraph" w:customStyle="1" w:styleId="207">
    <w:name w:val="xl9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08">
    <w:name w:val="xl91"/>
    <w:basedOn w:val="1"/>
    <w:qFormat/>
    <w:uiPriority w:val="0"/>
    <w:pPr>
      <w:pBdr>
        <w:top w:val="single" w:color="auto" w:sz="4" w:space="0"/>
        <w:right w:val="single" w:color="auto" w:sz="4" w:space="0"/>
      </w:pBdr>
      <w:spacing w:before="100" w:beforeAutospacing="1" w:after="100" w:afterAutospacing="1"/>
      <w:jc w:val="center"/>
    </w:pPr>
    <w:rPr>
      <w:sz w:val="20"/>
      <w:szCs w:val="20"/>
    </w:rPr>
  </w:style>
  <w:style w:type="paragraph" w:customStyle="1" w:styleId="209">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210">
    <w:name w:val="xl93"/>
    <w:basedOn w:val="1"/>
    <w:qFormat/>
    <w:uiPriority w:val="0"/>
    <w:pPr>
      <w:pBdr>
        <w:top w:val="single" w:color="auto" w:sz="4" w:space="0"/>
        <w:left w:val="single" w:color="auto" w:sz="8" w:space="0"/>
        <w:right w:val="single" w:color="auto" w:sz="4" w:space="0"/>
      </w:pBdr>
      <w:spacing w:before="100" w:beforeAutospacing="1" w:after="100" w:afterAutospacing="1"/>
    </w:pPr>
    <w:rPr>
      <w:sz w:val="20"/>
      <w:szCs w:val="20"/>
    </w:rPr>
  </w:style>
  <w:style w:type="paragraph" w:customStyle="1" w:styleId="211">
    <w:name w:val="xl9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sz w:val="20"/>
      <w:szCs w:val="20"/>
    </w:rPr>
  </w:style>
  <w:style w:type="paragraph" w:customStyle="1" w:styleId="212">
    <w:name w:val="xl95"/>
    <w:basedOn w:val="1"/>
    <w:qFormat/>
    <w:uiPriority w:val="0"/>
    <w:pPr>
      <w:pBdr>
        <w:top w:val="single" w:color="auto" w:sz="4" w:space="0"/>
        <w:left w:val="single" w:color="auto" w:sz="4" w:space="0"/>
        <w:bottom w:val="single" w:color="auto" w:sz="4" w:space="0"/>
        <w:right w:val="single" w:color="auto" w:sz="4" w:space="0"/>
      </w:pBdr>
      <w:shd w:val="clear" w:color="000000" w:fill="DBEEF3"/>
      <w:spacing w:before="100" w:beforeAutospacing="1" w:after="100" w:afterAutospacing="1"/>
    </w:pPr>
    <w:rPr>
      <w:sz w:val="20"/>
      <w:szCs w:val="20"/>
    </w:rPr>
  </w:style>
  <w:style w:type="paragraph" w:customStyle="1" w:styleId="213">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14">
    <w:name w:val="xl9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15">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16">
    <w:name w:val="xl99"/>
    <w:basedOn w:val="1"/>
    <w:qFormat/>
    <w:uiPriority w:val="0"/>
    <w:pPr>
      <w:spacing w:before="100" w:beforeAutospacing="1" w:after="100" w:afterAutospacing="1"/>
      <w:jc w:val="center"/>
      <w:textAlignment w:val="center"/>
    </w:pPr>
    <w:rPr>
      <w:sz w:val="20"/>
      <w:szCs w:val="20"/>
    </w:rPr>
  </w:style>
  <w:style w:type="paragraph" w:customStyle="1" w:styleId="217">
    <w:name w:val="xl100"/>
    <w:basedOn w:val="1"/>
    <w:qFormat/>
    <w:uiPriority w:val="0"/>
    <w:pPr>
      <w:spacing w:before="100" w:beforeAutospacing="1" w:after="100" w:afterAutospacing="1"/>
      <w:jc w:val="center"/>
      <w:textAlignment w:val="center"/>
    </w:pPr>
    <w:rPr>
      <w:b/>
      <w:bCs/>
      <w:color w:val="000000"/>
      <w:sz w:val="20"/>
      <w:szCs w:val="20"/>
    </w:rPr>
  </w:style>
  <w:style w:type="paragraph" w:customStyle="1" w:styleId="218">
    <w:name w:val="xl10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19">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0">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1">
    <w:name w:val="xl104"/>
    <w:basedOn w:val="1"/>
    <w:qFormat/>
    <w:uiPriority w:val="0"/>
    <w:pPr>
      <w:spacing w:before="100" w:beforeAutospacing="1" w:after="100" w:afterAutospacing="1"/>
      <w:jc w:val="center"/>
      <w:textAlignment w:val="center"/>
    </w:pPr>
    <w:rPr>
      <w:sz w:val="20"/>
      <w:szCs w:val="20"/>
    </w:rPr>
  </w:style>
  <w:style w:type="paragraph" w:customStyle="1" w:styleId="222">
    <w:name w:val="xl105"/>
    <w:basedOn w:val="1"/>
    <w:qFormat/>
    <w:uiPriority w:val="0"/>
    <w:pPr>
      <w:pBdr>
        <w:top w:val="single" w:color="auto" w:sz="4" w:space="0"/>
        <w:left w:val="single" w:color="auto" w:sz="8" w:space="0"/>
        <w:bottom w:val="single" w:color="auto" w:sz="4" w:space="0"/>
      </w:pBdr>
      <w:spacing w:before="100" w:beforeAutospacing="1" w:after="100" w:afterAutospacing="1"/>
    </w:pPr>
    <w:rPr>
      <w:b/>
      <w:bCs/>
      <w:sz w:val="20"/>
      <w:szCs w:val="20"/>
    </w:rPr>
  </w:style>
  <w:style w:type="paragraph" w:customStyle="1" w:styleId="223">
    <w:name w:val="xl106"/>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4">
    <w:name w:val="xl107"/>
    <w:basedOn w:val="1"/>
    <w:qFormat/>
    <w:uiPriority w:val="0"/>
    <w:pPr>
      <w:pBdr>
        <w:top w:val="single" w:color="auto" w:sz="4" w:space="0"/>
        <w:left w:val="single" w:color="auto" w:sz="4" w:space="0"/>
        <w:right w:val="single" w:color="auto" w:sz="4" w:space="0"/>
      </w:pBdr>
      <w:spacing w:before="100" w:beforeAutospacing="1" w:after="100" w:afterAutospacing="1"/>
      <w:jc w:val="both"/>
    </w:pPr>
    <w:rPr>
      <w:sz w:val="20"/>
      <w:szCs w:val="20"/>
    </w:rPr>
  </w:style>
  <w:style w:type="paragraph" w:customStyle="1" w:styleId="225">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b/>
      <w:bCs/>
      <w:color w:val="000000"/>
      <w:sz w:val="20"/>
      <w:szCs w:val="20"/>
    </w:rPr>
  </w:style>
  <w:style w:type="paragraph" w:customStyle="1" w:styleId="226">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b/>
      <w:bCs/>
      <w:color w:val="000000"/>
      <w:sz w:val="20"/>
      <w:szCs w:val="20"/>
    </w:rPr>
  </w:style>
  <w:style w:type="paragraph" w:customStyle="1" w:styleId="227">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28">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29">
    <w:name w:val="xl11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0"/>
      <w:szCs w:val="20"/>
    </w:rPr>
  </w:style>
  <w:style w:type="paragraph" w:customStyle="1" w:styleId="230">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31">
    <w:name w:val="xl114"/>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sz w:val="20"/>
      <w:szCs w:val="20"/>
    </w:rPr>
  </w:style>
  <w:style w:type="paragraph" w:customStyle="1" w:styleId="232">
    <w:name w:val="xl115"/>
    <w:basedOn w:val="1"/>
    <w:qFormat/>
    <w:uiPriority w:val="0"/>
    <w:pPr>
      <w:pBdr>
        <w:top w:val="single" w:color="auto" w:sz="4" w:space="0"/>
        <w:bottom w:val="single" w:color="auto" w:sz="4" w:space="0"/>
      </w:pBdr>
      <w:spacing w:before="100" w:beforeAutospacing="1" w:after="100" w:afterAutospacing="1"/>
      <w:jc w:val="center"/>
      <w:textAlignment w:val="center"/>
    </w:pPr>
    <w:rPr>
      <w:b/>
      <w:bCs/>
      <w:sz w:val="20"/>
      <w:szCs w:val="20"/>
    </w:rPr>
  </w:style>
  <w:style w:type="paragraph" w:customStyle="1" w:styleId="233">
    <w:name w:val="xl116"/>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34">
    <w:name w:val="xl117"/>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235">
    <w:name w:val="xl118"/>
    <w:basedOn w:val="1"/>
    <w:qFormat/>
    <w:uiPriority w:val="0"/>
    <w:pPr>
      <w:pBdr>
        <w:left w:val="single" w:color="auto" w:sz="4" w:space="0"/>
        <w:right w:val="single" w:color="auto" w:sz="4" w:space="0"/>
      </w:pBdr>
      <w:spacing w:before="100" w:beforeAutospacing="1" w:after="100" w:afterAutospacing="1"/>
      <w:textAlignment w:val="center"/>
    </w:pPr>
    <w:rPr>
      <w:sz w:val="20"/>
      <w:szCs w:val="20"/>
    </w:rPr>
  </w:style>
  <w:style w:type="paragraph" w:customStyle="1" w:styleId="236">
    <w:name w:val="xl119"/>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37">
    <w:name w:val="xl12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38">
    <w:name w:val="xl121"/>
    <w:basedOn w:val="1"/>
    <w:qFormat/>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39">
    <w:name w:val="xl122"/>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40">
    <w:name w:val="xl123"/>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41">
    <w:name w:val="xl124"/>
    <w:basedOn w:val="1"/>
    <w:qFormat/>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42">
    <w:name w:val="xl12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43">
    <w:name w:val="xl126"/>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244">
    <w:name w:val="xl1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245">
    <w:name w:val="xl12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246">
    <w:name w:val="xl129"/>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47">
    <w:name w:val="xl130"/>
    <w:basedOn w:val="1"/>
    <w:qFormat/>
    <w:uiPriority w:val="0"/>
    <w:pPr>
      <w:pBdr>
        <w:left w:val="single" w:color="auto" w:sz="4" w:space="0"/>
      </w:pBdr>
      <w:spacing w:before="100" w:beforeAutospacing="1" w:after="100" w:afterAutospacing="1"/>
      <w:jc w:val="center"/>
      <w:textAlignment w:val="center"/>
    </w:pPr>
    <w:rPr>
      <w:b/>
      <w:bCs/>
      <w:color w:val="000000"/>
      <w:sz w:val="20"/>
      <w:szCs w:val="20"/>
    </w:rPr>
  </w:style>
  <w:style w:type="character" w:customStyle="1" w:styleId="248">
    <w:name w:val="WW-Absatz-Standardschriftart111111111"/>
    <w:uiPriority w:val="0"/>
  </w:style>
  <w:style w:type="paragraph" w:customStyle="1" w:styleId="249">
    <w:name w:val="Основной текст с отступом 31"/>
    <w:basedOn w:val="1"/>
    <w:link w:val="2423"/>
    <w:qFormat/>
    <w:uiPriority w:val="0"/>
    <w:pPr>
      <w:widowControl w:val="0"/>
      <w:suppressAutoHyphens/>
      <w:spacing w:after="120"/>
      <w:ind w:left="283"/>
    </w:pPr>
    <w:rPr>
      <w:rFonts w:ascii="Arial" w:hAnsi="Arial"/>
      <w:kern w:val="1"/>
      <w:sz w:val="16"/>
      <w:szCs w:val="16"/>
    </w:rPr>
  </w:style>
  <w:style w:type="paragraph" w:customStyle="1" w:styleId="250">
    <w:name w:val="Основной текст с отступом 21"/>
    <w:basedOn w:val="1"/>
    <w:qFormat/>
    <w:uiPriority w:val="0"/>
    <w:pPr>
      <w:widowControl w:val="0"/>
      <w:suppressAutoHyphens/>
      <w:spacing w:after="120" w:line="480" w:lineRule="auto"/>
      <w:ind w:left="283"/>
      <w:jc w:val="both"/>
      <w:textAlignment w:val="baseline"/>
    </w:pPr>
    <w:rPr>
      <w:rFonts w:ascii="Arial" w:hAnsi="Arial"/>
      <w:kern w:val="1"/>
      <w:sz w:val="20"/>
    </w:rPr>
  </w:style>
  <w:style w:type="paragraph" w:customStyle="1" w:styleId="251">
    <w:name w:val="ConsPlusCell"/>
    <w:qFormat/>
    <w:uiPriority w:val="99"/>
    <w:pPr>
      <w:widowControl w:val="0"/>
      <w:autoSpaceDE w:val="0"/>
      <w:autoSpaceDN w:val="0"/>
      <w:adjustRightInd w:val="0"/>
    </w:pPr>
    <w:rPr>
      <w:rFonts w:ascii="Arial" w:hAnsi="Arial" w:eastAsia="Times New Roman" w:cs="Arial"/>
      <w:lang w:val="ru-RU" w:eastAsia="ru-RU" w:bidi="ar-SA"/>
    </w:rPr>
  </w:style>
  <w:style w:type="paragraph" w:customStyle="1" w:styleId="252">
    <w:name w:val="mail"/>
    <w:basedOn w:val="1"/>
    <w:qFormat/>
    <w:uiPriority w:val="99"/>
    <w:pPr>
      <w:spacing w:before="100" w:beforeAutospacing="1" w:after="100" w:afterAutospacing="1"/>
    </w:pPr>
  </w:style>
  <w:style w:type="character" w:customStyle="1" w:styleId="253">
    <w:name w:val="Основной текст с отступом 2 Знак1 Знак1 Знак"/>
    <w:uiPriority w:val="0"/>
    <w:rPr>
      <w:sz w:val="24"/>
      <w:szCs w:val="24"/>
    </w:rPr>
  </w:style>
  <w:style w:type="paragraph" w:customStyle="1" w:styleId="254">
    <w:name w:val="Содержимое таблицы"/>
    <w:basedOn w:val="1"/>
    <w:qFormat/>
    <w:uiPriority w:val="0"/>
    <w:pPr>
      <w:suppressLineNumbers/>
      <w:suppressAutoHyphens/>
    </w:pPr>
    <w:rPr>
      <w:kern w:val="1"/>
      <w:lang w:eastAsia="ar-SA"/>
    </w:rPr>
  </w:style>
  <w:style w:type="paragraph" w:customStyle="1" w:styleId="255">
    <w:name w:val="xl22"/>
    <w:basedOn w:val="1"/>
    <w:qFormat/>
    <w:uiPriority w:val="99"/>
    <w:pPr>
      <w:spacing w:before="100" w:beforeAutospacing="1" w:after="100" w:afterAutospacing="1"/>
    </w:pPr>
    <w:rPr>
      <w:rFonts w:eastAsia="Arial Unicode MS"/>
      <w:b/>
      <w:bCs/>
    </w:rPr>
  </w:style>
  <w:style w:type="paragraph" w:customStyle="1" w:styleId="256">
    <w:name w:val="Название объекта1"/>
    <w:basedOn w:val="1"/>
    <w:next w:val="1"/>
    <w:qFormat/>
    <w:uiPriority w:val="0"/>
    <w:pPr>
      <w:suppressAutoHyphens/>
      <w:jc w:val="center"/>
    </w:pPr>
    <w:rPr>
      <w:b/>
      <w:bCs/>
      <w:lang w:eastAsia="ar-SA"/>
    </w:rPr>
  </w:style>
  <w:style w:type="paragraph" w:customStyle="1" w:styleId="257">
    <w:name w:val="Standard"/>
    <w:qFormat/>
    <w:uiPriority w:val="99"/>
    <w:pPr>
      <w:widowControl w:val="0"/>
      <w:suppressAutoHyphens/>
      <w:autoSpaceDN w:val="0"/>
      <w:textAlignment w:val="baseline"/>
    </w:pPr>
    <w:rPr>
      <w:rFonts w:ascii="Times New Roman" w:hAnsi="Times New Roman" w:eastAsia="Andale Sans UI" w:cs="Tahoma"/>
      <w:kern w:val="3"/>
      <w:sz w:val="24"/>
      <w:szCs w:val="24"/>
      <w:lang w:val="de-DE" w:eastAsia="ja-JP" w:bidi="fa-IR"/>
    </w:rPr>
  </w:style>
  <w:style w:type="paragraph" w:customStyle="1" w:styleId="258">
    <w:name w:val="S_Обычный"/>
    <w:basedOn w:val="1"/>
    <w:link w:val="259"/>
    <w:qFormat/>
    <w:uiPriority w:val="0"/>
    <w:pPr>
      <w:spacing w:line="360" w:lineRule="auto"/>
      <w:ind w:firstLine="709"/>
      <w:jc w:val="both"/>
    </w:pPr>
  </w:style>
  <w:style w:type="character" w:customStyle="1" w:styleId="259">
    <w:name w:val="S_Обычный Знак"/>
    <w:link w:val="258"/>
    <w:uiPriority w:val="0"/>
    <w:rPr>
      <w:rFonts w:ascii="Times New Roman" w:hAnsi="Times New Roman" w:eastAsia="Times New Roman"/>
      <w:sz w:val="24"/>
      <w:szCs w:val="24"/>
    </w:rPr>
  </w:style>
  <w:style w:type="paragraph" w:customStyle="1" w:styleId="260">
    <w:name w:val="Заголовок статьи"/>
    <w:basedOn w:val="1"/>
    <w:next w:val="1"/>
    <w:qFormat/>
    <w:uiPriority w:val="99"/>
    <w:pPr>
      <w:autoSpaceDE w:val="0"/>
      <w:autoSpaceDN w:val="0"/>
      <w:adjustRightInd w:val="0"/>
      <w:ind w:left="1612" w:hanging="892"/>
      <w:jc w:val="both"/>
    </w:pPr>
    <w:rPr>
      <w:rFonts w:ascii="Arial" w:hAnsi="Arial"/>
      <w:sz w:val="20"/>
      <w:szCs w:val="20"/>
    </w:rPr>
  </w:style>
  <w:style w:type="character" w:customStyle="1" w:styleId="261">
    <w:name w:val="Подзаголовок Знак1"/>
    <w:uiPriority w:val="0"/>
    <w:rPr>
      <w:rFonts w:ascii="Cambria" w:hAnsi="Cambria" w:eastAsia="Times New Roman" w:cs="Times New Roman"/>
      <w:i/>
      <w:iCs/>
      <w:color w:val="4F81BD"/>
      <w:spacing w:val="15"/>
      <w:sz w:val="24"/>
      <w:szCs w:val="24"/>
    </w:rPr>
  </w:style>
  <w:style w:type="character" w:customStyle="1" w:styleId="262">
    <w:name w:val="Заголовок 3 Знак1"/>
    <w:uiPriority w:val="0"/>
    <w:rPr>
      <w:rFonts w:ascii="Arial" w:hAnsi="Arial" w:cs="Arial"/>
      <w:b/>
      <w:bCs/>
      <w:sz w:val="26"/>
      <w:szCs w:val="26"/>
      <w:lang w:val="ru-RU" w:eastAsia="ru-RU" w:bidi="ar-SA"/>
    </w:rPr>
  </w:style>
  <w:style w:type="character" w:customStyle="1" w:styleId="263">
    <w:name w:val="WW8Num4z0"/>
    <w:uiPriority w:val="0"/>
    <w:rPr>
      <w:rFonts w:ascii="Symbol" w:hAnsi="Symbol" w:cs="StarSymbol"/>
      <w:sz w:val="18"/>
      <w:szCs w:val="18"/>
    </w:rPr>
  </w:style>
  <w:style w:type="paragraph" w:customStyle="1" w:styleId="264">
    <w:name w:val="ConsPlusNonformat"/>
    <w:qFormat/>
    <w:uiPriority w:val="0"/>
    <w:pPr>
      <w:widowControl w:val="0"/>
      <w:autoSpaceDE w:val="0"/>
      <w:autoSpaceDN w:val="0"/>
      <w:adjustRightInd w:val="0"/>
    </w:pPr>
    <w:rPr>
      <w:rFonts w:ascii="Courier New" w:hAnsi="Courier New" w:eastAsia="Times New Roman" w:cs="Courier New"/>
      <w:lang w:val="ru-RU" w:eastAsia="ru-RU" w:bidi="ar-SA"/>
    </w:rPr>
  </w:style>
  <w:style w:type="paragraph" w:customStyle="1" w:styleId="265">
    <w:name w:val="Название1"/>
    <w:basedOn w:val="1"/>
    <w:qFormat/>
    <w:uiPriority w:val="0"/>
    <w:pPr>
      <w:suppressLineNumbers/>
      <w:suppressAutoHyphens/>
      <w:spacing w:before="120" w:after="120"/>
      <w:ind w:firstLine="709"/>
      <w:jc w:val="both"/>
    </w:pPr>
    <w:rPr>
      <w:rFonts w:ascii="Times" w:hAnsi="Times" w:cs="Lucidasans"/>
      <w:i/>
      <w:iCs/>
      <w:lang w:eastAsia="ar-SA"/>
    </w:rPr>
  </w:style>
  <w:style w:type="paragraph" w:customStyle="1" w:styleId="266">
    <w:name w:val="Указатель1"/>
    <w:basedOn w:val="1"/>
    <w:qFormat/>
    <w:uiPriority w:val="0"/>
    <w:pPr>
      <w:suppressLineNumbers/>
      <w:suppressAutoHyphens/>
      <w:spacing w:before="120" w:after="120"/>
      <w:ind w:firstLine="709"/>
      <w:jc w:val="both"/>
    </w:pPr>
    <w:rPr>
      <w:rFonts w:ascii="Times" w:hAnsi="Times" w:cs="Lucidasans"/>
      <w:lang w:eastAsia="ar-SA"/>
    </w:rPr>
  </w:style>
  <w:style w:type="paragraph" w:customStyle="1" w:styleId="267">
    <w:name w:val="Схема документа1"/>
    <w:basedOn w:val="1"/>
    <w:qFormat/>
    <w:uiPriority w:val="0"/>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268">
    <w:name w:val="Чертежный"/>
    <w:qFormat/>
    <w:uiPriority w:val="99"/>
    <w:pPr>
      <w:suppressAutoHyphens/>
      <w:jc w:val="both"/>
    </w:pPr>
    <w:rPr>
      <w:rFonts w:ascii="ISOCPEUR" w:hAnsi="ISOCPEUR" w:eastAsia="Arial" w:cs="Times New Roman"/>
      <w:i/>
      <w:sz w:val="28"/>
      <w:lang w:val="uk-UA" w:eastAsia="ar-SA" w:bidi="ar-SA"/>
    </w:rPr>
  </w:style>
  <w:style w:type="paragraph" w:customStyle="1" w:styleId="269">
    <w:name w:val="FR1"/>
    <w:qFormat/>
    <w:uiPriority w:val="0"/>
    <w:pPr>
      <w:widowControl w:val="0"/>
      <w:suppressAutoHyphens/>
      <w:autoSpaceDE w:val="0"/>
      <w:spacing w:before="20"/>
    </w:pPr>
    <w:rPr>
      <w:rFonts w:ascii="Arial" w:hAnsi="Arial" w:eastAsia="Arial" w:cs="Arial"/>
      <w:lang w:val="ru-RU" w:eastAsia="ar-SA" w:bidi="ar-SA"/>
    </w:rPr>
  </w:style>
  <w:style w:type="paragraph" w:customStyle="1" w:styleId="270">
    <w:name w:val="Стиль Заголовок 3 + не курсив"/>
    <w:basedOn w:val="4"/>
    <w:qFormat/>
    <w:uiPriority w:val="0"/>
    <w:pPr>
      <w:tabs>
        <w:tab w:val="left" w:pos="2989"/>
      </w:tabs>
      <w:suppressAutoHyphens/>
      <w:ind w:left="2989" w:hanging="720"/>
      <w:jc w:val="both"/>
      <w:outlineLvl w:val="9"/>
    </w:pPr>
    <w:rPr>
      <w:rFonts w:ascii="Times New Roman" w:hAnsi="Times New Roman"/>
      <w:bCs w:val="0"/>
      <w:sz w:val="24"/>
      <w:lang w:eastAsia="ar-SA"/>
    </w:rPr>
  </w:style>
  <w:style w:type="paragraph" w:customStyle="1" w:styleId="271">
    <w:name w:val="Стиль по ширине Первая строка:  127 см"/>
    <w:basedOn w:val="1"/>
    <w:qFormat/>
    <w:uiPriority w:val="0"/>
    <w:pPr>
      <w:suppressAutoHyphens/>
      <w:spacing w:before="120" w:after="120"/>
      <w:ind w:firstLine="720"/>
      <w:jc w:val="both"/>
    </w:pPr>
    <w:rPr>
      <w:szCs w:val="20"/>
      <w:lang w:eastAsia="ar-SA"/>
    </w:rPr>
  </w:style>
  <w:style w:type="paragraph" w:customStyle="1" w:styleId="272">
    <w:name w:val="Текст примечания1"/>
    <w:basedOn w:val="1"/>
    <w:qFormat/>
    <w:uiPriority w:val="0"/>
    <w:pPr>
      <w:suppressAutoHyphens/>
      <w:spacing w:before="120" w:after="120"/>
      <w:ind w:firstLine="709"/>
      <w:jc w:val="both"/>
    </w:pPr>
    <w:rPr>
      <w:sz w:val="20"/>
      <w:szCs w:val="20"/>
      <w:lang w:eastAsia="ar-SA"/>
    </w:rPr>
  </w:style>
  <w:style w:type="paragraph" w:customStyle="1" w:styleId="273">
    <w:name w:val="Стиль по ширине"/>
    <w:basedOn w:val="1"/>
    <w:qFormat/>
    <w:uiPriority w:val="0"/>
    <w:pPr>
      <w:suppressAutoHyphens/>
      <w:spacing w:before="120" w:after="120"/>
      <w:jc w:val="both"/>
    </w:pPr>
    <w:rPr>
      <w:szCs w:val="20"/>
      <w:lang w:eastAsia="ar-SA"/>
    </w:rPr>
  </w:style>
  <w:style w:type="paragraph" w:customStyle="1" w:styleId="274">
    <w:name w:val="Район"/>
    <w:basedOn w:val="1"/>
    <w:qFormat/>
    <w:uiPriority w:val="0"/>
    <w:pPr>
      <w:tabs>
        <w:tab w:val="left" w:pos="927"/>
      </w:tabs>
      <w:suppressAutoHyphens/>
      <w:spacing w:before="120" w:after="120"/>
      <w:ind w:left="927" w:hanging="360"/>
      <w:jc w:val="center"/>
    </w:pPr>
    <w:rPr>
      <w:b/>
      <w:sz w:val="28"/>
      <w:szCs w:val="28"/>
      <w:lang w:eastAsia="ar-SA"/>
    </w:rPr>
  </w:style>
  <w:style w:type="paragraph" w:customStyle="1" w:styleId="275">
    <w:name w:val="Стиль по ширине1"/>
    <w:basedOn w:val="1"/>
    <w:qFormat/>
    <w:uiPriority w:val="0"/>
    <w:pPr>
      <w:suppressAutoHyphens/>
      <w:spacing w:before="120" w:after="120"/>
      <w:jc w:val="both"/>
    </w:pPr>
    <w:rPr>
      <w:lang w:eastAsia="ar-SA"/>
    </w:rPr>
  </w:style>
  <w:style w:type="paragraph" w:customStyle="1" w:styleId="276">
    <w:name w:val="Стиль по ширине Первая строка:  095 см"/>
    <w:basedOn w:val="1"/>
    <w:qFormat/>
    <w:uiPriority w:val="0"/>
    <w:pPr>
      <w:suppressAutoHyphens/>
      <w:spacing w:before="120" w:after="120"/>
      <w:ind w:firstLine="540"/>
      <w:jc w:val="both"/>
    </w:pPr>
    <w:rPr>
      <w:lang w:eastAsia="ar-SA"/>
    </w:rPr>
  </w:style>
  <w:style w:type="paragraph" w:customStyle="1" w:styleId="277">
    <w:name w:val="Стиль Первая строка:  127 см"/>
    <w:basedOn w:val="1"/>
    <w:qFormat/>
    <w:uiPriority w:val="0"/>
    <w:pPr>
      <w:suppressAutoHyphens/>
      <w:spacing w:before="120" w:after="120"/>
      <w:ind w:firstLine="720"/>
      <w:jc w:val="both"/>
    </w:pPr>
    <w:rPr>
      <w:szCs w:val="20"/>
      <w:lang w:eastAsia="ar-SA"/>
    </w:rPr>
  </w:style>
  <w:style w:type="paragraph" w:customStyle="1" w:styleId="278">
    <w:name w:val="text1"/>
    <w:basedOn w:val="1"/>
    <w:qFormat/>
    <w:uiPriority w:val="0"/>
    <w:pPr>
      <w:suppressAutoHyphens/>
      <w:spacing w:before="280" w:after="280"/>
      <w:ind w:firstLine="360"/>
      <w:jc w:val="both"/>
    </w:pPr>
    <w:rPr>
      <w:sz w:val="22"/>
      <w:szCs w:val="22"/>
      <w:lang w:eastAsia="ar-SA"/>
    </w:rPr>
  </w:style>
  <w:style w:type="paragraph" w:customStyle="1" w:styleId="279">
    <w:name w:val="form"/>
    <w:basedOn w:val="1"/>
    <w:qFormat/>
    <w:uiPriority w:val="0"/>
    <w:pPr>
      <w:suppressAutoHyphens/>
      <w:spacing w:before="280" w:after="280"/>
      <w:jc w:val="center"/>
    </w:pPr>
    <w:rPr>
      <w:color w:val="800000"/>
      <w:sz w:val="16"/>
      <w:szCs w:val="16"/>
      <w:lang w:eastAsia="ar-SA"/>
    </w:rPr>
  </w:style>
  <w:style w:type="paragraph" w:customStyle="1" w:styleId="280">
    <w:name w:val="Основной текст 21"/>
    <w:basedOn w:val="1"/>
    <w:qFormat/>
    <w:uiPriority w:val="99"/>
    <w:pPr>
      <w:suppressAutoHyphens/>
      <w:spacing w:before="120" w:after="120" w:line="480" w:lineRule="auto"/>
      <w:ind w:firstLine="709"/>
      <w:jc w:val="both"/>
    </w:pPr>
    <w:rPr>
      <w:lang w:eastAsia="ar-SA"/>
    </w:rPr>
  </w:style>
  <w:style w:type="paragraph" w:customStyle="1" w:styleId="281">
    <w:name w:val="Основной текст 22"/>
    <w:basedOn w:val="1"/>
    <w:qFormat/>
    <w:uiPriority w:val="0"/>
    <w:pPr>
      <w:widowControl w:val="0"/>
      <w:suppressAutoHyphens/>
      <w:overflowPunct w:val="0"/>
      <w:autoSpaceDE w:val="0"/>
      <w:spacing w:before="120" w:after="120"/>
      <w:jc w:val="both"/>
    </w:pPr>
    <w:rPr>
      <w:sz w:val="28"/>
      <w:szCs w:val="20"/>
      <w:lang w:eastAsia="ar-SA"/>
    </w:rPr>
  </w:style>
  <w:style w:type="paragraph" w:customStyle="1" w:styleId="282">
    <w:name w:val="Основной текст 32"/>
    <w:basedOn w:val="1"/>
    <w:qFormat/>
    <w:uiPriority w:val="0"/>
    <w:pPr>
      <w:suppressAutoHyphens/>
      <w:overflowPunct w:val="0"/>
      <w:autoSpaceDE w:val="0"/>
      <w:spacing w:before="120" w:after="120"/>
      <w:jc w:val="both"/>
    </w:pPr>
    <w:rPr>
      <w:rFonts w:ascii="TimesDL" w:hAnsi="TimesDL"/>
      <w:sz w:val="28"/>
      <w:szCs w:val="20"/>
      <w:lang w:eastAsia="ar-SA"/>
    </w:rPr>
  </w:style>
  <w:style w:type="paragraph" w:customStyle="1" w:styleId="283">
    <w:name w:val="p_art2"/>
    <w:basedOn w:val="1"/>
    <w:qFormat/>
    <w:uiPriority w:val="0"/>
    <w:pPr>
      <w:shd w:val="clear" w:color="auto" w:fill="FFFFFF"/>
      <w:suppressAutoHyphens/>
      <w:spacing w:before="120" w:after="360"/>
      <w:ind w:left="240" w:right="240" w:firstLine="1680"/>
      <w:jc w:val="both"/>
    </w:pPr>
    <w:rPr>
      <w:color w:val="000000"/>
      <w:lang w:eastAsia="ar-SA"/>
    </w:rPr>
  </w:style>
  <w:style w:type="paragraph" w:customStyle="1" w:styleId="284">
    <w:name w:val="Стиль Черный по ширине"/>
    <w:basedOn w:val="1"/>
    <w:qFormat/>
    <w:uiPriority w:val="0"/>
    <w:pPr>
      <w:suppressAutoHyphens/>
      <w:spacing w:before="120" w:after="120"/>
      <w:jc w:val="both"/>
    </w:pPr>
    <w:rPr>
      <w:color w:val="000000"/>
      <w:szCs w:val="20"/>
      <w:lang w:eastAsia="ar-SA"/>
    </w:rPr>
  </w:style>
  <w:style w:type="paragraph" w:customStyle="1" w:styleId="285">
    <w:name w:val="Стиль Название объекта + 12 пт"/>
    <w:basedOn w:val="256"/>
    <w:qFormat/>
    <w:uiPriority w:val="0"/>
    <w:pPr>
      <w:spacing w:before="120" w:after="120"/>
      <w:jc w:val="left"/>
    </w:pPr>
    <w:rPr>
      <w:szCs w:val="20"/>
    </w:rPr>
  </w:style>
  <w:style w:type="paragraph" w:customStyle="1" w:styleId="286">
    <w:name w:val="Обычный для таблицы"/>
    <w:basedOn w:val="1"/>
    <w:qFormat/>
    <w:uiPriority w:val="0"/>
    <w:pPr>
      <w:suppressAutoHyphens/>
      <w:spacing w:before="120" w:after="120"/>
      <w:jc w:val="center"/>
    </w:pPr>
    <w:rPr>
      <w:lang w:eastAsia="ar-SA"/>
    </w:rPr>
  </w:style>
  <w:style w:type="paragraph" w:customStyle="1" w:styleId="287">
    <w:name w:val="НумСписок"/>
    <w:basedOn w:val="1"/>
    <w:qFormat/>
    <w:uiPriority w:val="0"/>
    <w:pPr>
      <w:suppressAutoHyphens/>
      <w:ind w:firstLine="720"/>
    </w:pPr>
    <w:rPr>
      <w:sz w:val="22"/>
      <w:szCs w:val="20"/>
      <w:lang w:eastAsia="ar-SA"/>
    </w:rPr>
  </w:style>
  <w:style w:type="paragraph" w:customStyle="1" w:styleId="288">
    <w:name w:val="Абзац_пост"/>
    <w:basedOn w:val="1"/>
    <w:qFormat/>
    <w:uiPriority w:val="0"/>
    <w:pPr>
      <w:suppressAutoHyphens/>
      <w:spacing w:before="120"/>
      <w:ind w:firstLine="720"/>
      <w:jc w:val="both"/>
    </w:pPr>
    <w:rPr>
      <w:sz w:val="26"/>
      <w:lang w:eastAsia="ar-SA"/>
    </w:rPr>
  </w:style>
  <w:style w:type="paragraph" w:customStyle="1" w:styleId="289">
    <w:name w:val="Стиль Заголовок 1"/>
    <w:basedOn w:val="2"/>
    <w:qFormat/>
    <w:uiPriority w:val="0"/>
    <w:pPr>
      <w:pageBreakBefore w:val="0"/>
      <w:tabs>
        <w:tab w:val="left" w:pos="432"/>
      </w:tabs>
      <w:spacing w:before="240" w:after="240"/>
      <w:ind w:left="432" w:right="0" w:firstLine="709"/>
      <w:outlineLvl w:val="9"/>
    </w:pPr>
    <w:rPr>
      <w:rFonts w:ascii="Times New Roman" w:hAnsi="Times New Roman"/>
      <w:color w:val="auto"/>
      <w:spacing w:val="0"/>
      <w:kern w:val="2"/>
      <w:sz w:val="28"/>
      <w:szCs w:val="20"/>
      <w:lang w:eastAsia="ar-SA"/>
    </w:rPr>
  </w:style>
  <w:style w:type="paragraph" w:customStyle="1" w:styleId="290">
    <w:name w:val="Стиль Перед:  0 пт После:  0 пт"/>
    <w:basedOn w:val="1"/>
    <w:qFormat/>
    <w:uiPriority w:val="0"/>
    <w:pPr>
      <w:suppressAutoHyphens/>
      <w:spacing w:before="120" w:after="120"/>
      <w:ind w:firstLine="709"/>
      <w:jc w:val="both"/>
    </w:pPr>
    <w:rPr>
      <w:szCs w:val="20"/>
      <w:lang w:eastAsia="ar-SA"/>
    </w:rPr>
  </w:style>
  <w:style w:type="paragraph" w:customStyle="1" w:styleId="291">
    <w:name w:val="Стиль Заголовок 2 + Перед:  0 пт После:  0 пт"/>
    <w:basedOn w:val="3"/>
    <w:qFormat/>
    <w:uiPriority w:val="0"/>
    <w:pPr>
      <w:tabs>
        <w:tab w:val="left" w:pos="576"/>
      </w:tabs>
      <w:suppressAutoHyphens/>
      <w:spacing w:after="240"/>
      <w:ind w:left="576" w:firstLine="709"/>
      <w:jc w:val="both"/>
      <w:outlineLvl w:val="9"/>
    </w:pPr>
    <w:rPr>
      <w:rFonts w:ascii="Times New Roman" w:hAnsi="Times New Roman"/>
      <w:i w:val="0"/>
      <w:iCs w:val="0"/>
      <w:sz w:val="26"/>
      <w:szCs w:val="20"/>
      <w:lang w:eastAsia="ar-SA"/>
    </w:rPr>
  </w:style>
  <w:style w:type="paragraph" w:customStyle="1" w:styleId="292">
    <w:name w:val="Стиль Заголовок 3 + Перед:  0 пт После:  0 пт"/>
    <w:basedOn w:val="4"/>
    <w:qFormat/>
    <w:uiPriority w:val="0"/>
    <w:pPr>
      <w:tabs>
        <w:tab w:val="left" w:pos="2989"/>
      </w:tabs>
      <w:suppressAutoHyphens/>
      <w:spacing w:before="120" w:after="120"/>
      <w:ind w:left="2989" w:hanging="720"/>
      <w:jc w:val="both"/>
      <w:outlineLvl w:val="9"/>
    </w:pPr>
    <w:rPr>
      <w:rFonts w:ascii="Times New Roman" w:hAnsi="Times New Roman"/>
      <w:sz w:val="24"/>
      <w:szCs w:val="20"/>
      <w:lang w:eastAsia="ar-SA"/>
    </w:rPr>
  </w:style>
  <w:style w:type="paragraph" w:customStyle="1" w:styleId="293">
    <w:name w:val="Заголовок таблицы"/>
    <w:basedOn w:val="254"/>
    <w:link w:val="537"/>
    <w:qFormat/>
    <w:uiPriority w:val="0"/>
    <w:pPr>
      <w:spacing w:before="120" w:after="120"/>
      <w:ind w:firstLine="709"/>
      <w:jc w:val="center"/>
    </w:pPr>
    <w:rPr>
      <w:b/>
      <w:bCs/>
      <w:kern w:val="0"/>
    </w:rPr>
  </w:style>
  <w:style w:type="character" w:customStyle="1" w:styleId="294">
    <w:name w:val="WW8Num1z0"/>
    <w:uiPriority w:val="0"/>
    <w:rPr>
      <w:rFonts w:hint="default" w:ascii="Symbol" w:hAnsi="Symbol"/>
    </w:rPr>
  </w:style>
  <w:style w:type="character" w:customStyle="1" w:styleId="295">
    <w:name w:val="WW8Num1z1"/>
    <w:uiPriority w:val="0"/>
    <w:rPr>
      <w:rFonts w:hint="default" w:ascii="Courier New" w:hAnsi="Courier New" w:cs="Courier New"/>
    </w:rPr>
  </w:style>
  <w:style w:type="character" w:customStyle="1" w:styleId="296">
    <w:name w:val="WW8Num1z2"/>
    <w:uiPriority w:val="0"/>
    <w:rPr>
      <w:rFonts w:hint="default" w:ascii="Wingdings" w:hAnsi="Wingdings"/>
    </w:rPr>
  </w:style>
  <w:style w:type="character" w:customStyle="1" w:styleId="297">
    <w:name w:val="WW8Num2z0"/>
    <w:uiPriority w:val="0"/>
    <w:rPr>
      <w:rFonts w:hint="default" w:ascii="Symbol" w:hAnsi="Symbol"/>
    </w:rPr>
  </w:style>
  <w:style w:type="character" w:customStyle="1" w:styleId="298">
    <w:name w:val="WW8Num2z1"/>
    <w:uiPriority w:val="0"/>
    <w:rPr>
      <w:rFonts w:hint="default" w:ascii="Courier New" w:hAnsi="Courier New" w:cs="Courier New"/>
    </w:rPr>
  </w:style>
  <w:style w:type="character" w:customStyle="1" w:styleId="299">
    <w:name w:val="WW8Num2z2"/>
    <w:uiPriority w:val="0"/>
    <w:rPr>
      <w:rFonts w:hint="default" w:ascii="Wingdings" w:hAnsi="Wingdings"/>
    </w:rPr>
  </w:style>
  <w:style w:type="character" w:customStyle="1" w:styleId="300">
    <w:name w:val="WW8Num3z0"/>
    <w:uiPriority w:val="0"/>
    <w:rPr>
      <w:rFonts w:hint="default" w:ascii="Symbol" w:hAnsi="Symbol"/>
    </w:rPr>
  </w:style>
  <w:style w:type="character" w:customStyle="1" w:styleId="301">
    <w:name w:val="WW8Num3z2"/>
    <w:uiPriority w:val="0"/>
    <w:rPr>
      <w:rFonts w:hint="default" w:ascii="Wingdings" w:hAnsi="Wingdings"/>
    </w:rPr>
  </w:style>
  <w:style w:type="character" w:customStyle="1" w:styleId="302">
    <w:name w:val="WW8Num3z4"/>
    <w:uiPriority w:val="0"/>
    <w:rPr>
      <w:rFonts w:hint="default" w:ascii="Courier New" w:hAnsi="Courier New" w:cs="Courier New"/>
    </w:rPr>
  </w:style>
  <w:style w:type="character" w:customStyle="1" w:styleId="303">
    <w:name w:val="WW8Num5z0"/>
    <w:uiPriority w:val="0"/>
    <w:rPr>
      <w:rFonts w:hint="default" w:ascii="Symbol" w:hAnsi="Symbol"/>
    </w:rPr>
  </w:style>
  <w:style w:type="character" w:customStyle="1" w:styleId="304">
    <w:name w:val="WW8Num5z1"/>
    <w:uiPriority w:val="0"/>
    <w:rPr>
      <w:rFonts w:hint="default" w:ascii="Courier New" w:hAnsi="Courier New" w:cs="Courier New"/>
    </w:rPr>
  </w:style>
  <w:style w:type="character" w:customStyle="1" w:styleId="305">
    <w:name w:val="WW8Num5z2"/>
    <w:uiPriority w:val="0"/>
    <w:rPr>
      <w:rFonts w:hint="default" w:ascii="Wingdings" w:hAnsi="Wingdings"/>
    </w:rPr>
  </w:style>
  <w:style w:type="character" w:customStyle="1" w:styleId="306">
    <w:name w:val="WW8Num6z0"/>
    <w:uiPriority w:val="0"/>
    <w:rPr>
      <w:rFonts w:hint="default" w:ascii="Symbol" w:hAnsi="Symbol"/>
      <w:sz w:val="20"/>
    </w:rPr>
  </w:style>
  <w:style w:type="character" w:customStyle="1" w:styleId="307">
    <w:name w:val="WW8Num6z1"/>
    <w:uiPriority w:val="0"/>
    <w:rPr>
      <w:rFonts w:hint="default" w:ascii="Courier New" w:hAnsi="Courier New" w:cs="Courier New"/>
      <w:sz w:val="20"/>
    </w:rPr>
  </w:style>
  <w:style w:type="character" w:customStyle="1" w:styleId="308">
    <w:name w:val="WW8Num6z2"/>
    <w:uiPriority w:val="0"/>
    <w:rPr>
      <w:rFonts w:hint="default" w:ascii="Wingdings" w:hAnsi="Wingdings"/>
      <w:sz w:val="20"/>
    </w:rPr>
  </w:style>
  <w:style w:type="character" w:customStyle="1" w:styleId="309">
    <w:name w:val="WW8Num7z0"/>
    <w:uiPriority w:val="0"/>
    <w:rPr>
      <w:rFonts w:hint="default" w:ascii="Symbol" w:hAnsi="Symbol"/>
    </w:rPr>
  </w:style>
  <w:style w:type="character" w:customStyle="1" w:styleId="310">
    <w:name w:val="WW8Num7z1"/>
    <w:uiPriority w:val="0"/>
    <w:rPr>
      <w:rFonts w:hint="default" w:ascii="Courier New" w:hAnsi="Courier New" w:cs="Courier New"/>
    </w:rPr>
  </w:style>
  <w:style w:type="character" w:customStyle="1" w:styleId="311">
    <w:name w:val="WW8Num7z2"/>
    <w:uiPriority w:val="0"/>
    <w:rPr>
      <w:rFonts w:hint="default" w:ascii="Wingdings" w:hAnsi="Wingdings"/>
    </w:rPr>
  </w:style>
  <w:style w:type="character" w:customStyle="1" w:styleId="312">
    <w:name w:val="WW8Num8z0"/>
    <w:uiPriority w:val="0"/>
    <w:rPr>
      <w:rFonts w:hint="default" w:ascii="Symbol" w:hAnsi="Symbol"/>
    </w:rPr>
  </w:style>
  <w:style w:type="character" w:customStyle="1" w:styleId="313">
    <w:name w:val="WW8Num8z1"/>
    <w:uiPriority w:val="0"/>
    <w:rPr>
      <w:rFonts w:hint="default" w:ascii="Courier New" w:hAnsi="Courier New" w:cs="Courier New"/>
    </w:rPr>
  </w:style>
  <w:style w:type="character" w:customStyle="1" w:styleId="314">
    <w:name w:val="WW8Num8z2"/>
    <w:uiPriority w:val="0"/>
    <w:rPr>
      <w:rFonts w:hint="default" w:ascii="Wingdings" w:hAnsi="Wingdings"/>
    </w:rPr>
  </w:style>
  <w:style w:type="character" w:customStyle="1" w:styleId="315">
    <w:name w:val="WW8Num9z0"/>
    <w:uiPriority w:val="0"/>
    <w:rPr>
      <w:rFonts w:hint="default" w:ascii="Symbol" w:hAnsi="Symbol"/>
    </w:rPr>
  </w:style>
  <w:style w:type="character" w:customStyle="1" w:styleId="316">
    <w:name w:val="WW8Num9z1"/>
    <w:uiPriority w:val="0"/>
    <w:rPr>
      <w:rFonts w:hint="default" w:ascii="Courier New" w:hAnsi="Courier New" w:cs="Courier New"/>
    </w:rPr>
  </w:style>
  <w:style w:type="character" w:customStyle="1" w:styleId="317">
    <w:name w:val="WW8Num9z2"/>
    <w:uiPriority w:val="0"/>
    <w:rPr>
      <w:rFonts w:hint="default" w:ascii="Wingdings" w:hAnsi="Wingdings"/>
    </w:rPr>
  </w:style>
  <w:style w:type="character" w:customStyle="1" w:styleId="318">
    <w:name w:val="WW8Num10z0"/>
    <w:uiPriority w:val="0"/>
    <w:rPr>
      <w:rFonts w:hint="default" w:ascii="Symbol" w:hAnsi="Symbol"/>
    </w:rPr>
  </w:style>
  <w:style w:type="character" w:customStyle="1" w:styleId="319">
    <w:name w:val="WW8Num10z1"/>
    <w:uiPriority w:val="0"/>
    <w:rPr>
      <w:rFonts w:hint="default" w:ascii="Courier New" w:hAnsi="Courier New" w:cs="Courier New"/>
    </w:rPr>
  </w:style>
  <w:style w:type="character" w:customStyle="1" w:styleId="320">
    <w:name w:val="WW8Num10z2"/>
    <w:uiPriority w:val="0"/>
    <w:rPr>
      <w:rFonts w:hint="default" w:ascii="Wingdings" w:hAnsi="Wingdings"/>
    </w:rPr>
  </w:style>
  <w:style w:type="character" w:customStyle="1" w:styleId="321">
    <w:name w:val="WW8Num12z0"/>
    <w:uiPriority w:val="0"/>
    <w:rPr>
      <w:rFonts w:hint="default" w:ascii="Symbol" w:hAnsi="Symbol"/>
    </w:rPr>
  </w:style>
  <w:style w:type="character" w:customStyle="1" w:styleId="322">
    <w:name w:val="WW8Num12z1"/>
    <w:uiPriority w:val="0"/>
    <w:rPr>
      <w:rFonts w:hint="default" w:ascii="Courier New" w:hAnsi="Courier New" w:cs="Courier New"/>
    </w:rPr>
  </w:style>
  <w:style w:type="character" w:customStyle="1" w:styleId="323">
    <w:name w:val="WW8Num12z2"/>
    <w:uiPriority w:val="0"/>
    <w:rPr>
      <w:rFonts w:hint="default" w:ascii="Wingdings" w:hAnsi="Wingdings"/>
    </w:rPr>
  </w:style>
  <w:style w:type="character" w:customStyle="1" w:styleId="324">
    <w:name w:val="WW8Num13z0"/>
    <w:uiPriority w:val="0"/>
    <w:rPr>
      <w:rFonts w:hint="default" w:ascii="Symbol" w:hAnsi="Symbol"/>
    </w:rPr>
  </w:style>
  <w:style w:type="character" w:customStyle="1" w:styleId="325">
    <w:name w:val="WW8Num14z0"/>
    <w:uiPriority w:val="0"/>
    <w:rPr>
      <w:rFonts w:hint="default" w:ascii="Symbol" w:hAnsi="Symbol"/>
    </w:rPr>
  </w:style>
  <w:style w:type="character" w:customStyle="1" w:styleId="326">
    <w:name w:val="WW8Num14z1"/>
    <w:uiPriority w:val="0"/>
    <w:rPr>
      <w:rFonts w:hint="default" w:ascii="Courier New" w:hAnsi="Courier New" w:cs="Courier New"/>
    </w:rPr>
  </w:style>
  <w:style w:type="character" w:customStyle="1" w:styleId="327">
    <w:name w:val="WW8Num14z2"/>
    <w:uiPriority w:val="0"/>
    <w:rPr>
      <w:rFonts w:hint="default" w:ascii="Wingdings" w:hAnsi="Wingdings"/>
    </w:rPr>
  </w:style>
  <w:style w:type="character" w:customStyle="1" w:styleId="328">
    <w:name w:val="WW8Num15z0"/>
    <w:uiPriority w:val="0"/>
    <w:rPr>
      <w:rFonts w:hint="default" w:ascii="Symbol" w:hAnsi="Symbol"/>
    </w:rPr>
  </w:style>
  <w:style w:type="character" w:customStyle="1" w:styleId="329">
    <w:name w:val="WW8Num15z1"/>
    <w:uiPriority w:val="0"/>
    <w:rPr>
      <w:rFonts w:hint="default" w:ascii="Courier New" w:hAnsi="Courier New" w:cs="Courier New"/>
    </w:rPr>
  </w:style>
  <w:style w:type="character" w:customStyle="1" w:styleId="330">
    <w:name w:val="WW8Num15z2"/>
    <w:uiPriority w:val="0"/>
    <w:rPr>
      <w:rFonts w:hint="default" w:ascii="Wingdings" w:hAnsi="Wingdings"/>
    </w:rPr>
  </w:style>
  <w:style w:type="character" w:customStyle="1" w:styleId="331">
    <w:name w:val="WW8Num16z0"/>
    <w:uiPriority w:val="0"/>
    <w:rPr>
      <w:rFonts w:hint="default" w:ascii="Symbol" w:hAnsi="Symbol"/>
    </w:rPr>
  </w:style>
  <w:style w:type="character" w:customStyle="1" w:styleId="332">
    <w:name w:val="WW8Num16z1"/>
    <w:uiPriority w:val="0"/>
    <w:rPr>
      <w:rFonts w:hint="default" w:ascii="Courier New" w:hAnsi="Courier New" w:cs="Courier New"/>
    </w:rPr>
  </w:style>
  <w:style w:type="character" w:customStyle="1" w:styleId="333">
    <w:name w:val="WW8Num16z2"/>
    <w:uiPriority w:val="0"/>
    <w:rPr>
      <w:rFonts w:hint="default" w:ascii="Wingdings" w:hAnsi="Wingdings"/>
    </w:rPr>
  </w:style>
  <w:style w:type="character" w:customStyle="1" w:styleId="334">
    <w:name w:val="WW8Num17z0"/>
    <w:uiPriority w:val="0"/>
    <w:rPr>
      <w:rFonts w:hint="default" w:ascii="Symbol" w:hAnsi="Symbol"/>
    </w:rPr>
  </w:style>
  <w:style w:type="character" w:customStyle="1" w:styleId="335">
    <w:name w:val="WW8Num17z1"/>
    <w:uiPriority w:val="0"/>
    <w:rPr>
      <w:rFonts w:hint="default" w:ascii="Courier New" w:hAnsi="Courier New" w:cs="Courier New"/>
    </w:rPr>
  </w:style>
  <w:style w:type="character" w:customStyle="1" w:styleId="336">
    <w:name w:val="WW8Num17z2"/>
    <w:uiPriority w:val="0"/>
    <w:rPr>
      <w:rFonts w:hint="default" w:ascii="Wingdings" w:hAnsi="Wingdings"/>
    </w:rPr>
  </w:style>
  <w:style w:type="character" w:customStyle="1" w:styleId="337">
    <w:name w:val="WW8Num18z0"/>
    <w:uiPriority w:val="0"/>
    <w:rPr>
      <w:rFonts w:hint="default" w:ascii="Symbol" w:hAnsi="Symbol"/>
    </w:rPr>
  </w:style>
  <w:style w:type="character" w:customStyle="1" w:styleId="338">
    <w:name w:val="WW8Num18z1"/>
    <w:uiPriority w:val="0"/>
    <w:rPr>
      <w:rFonts w:hint="default" w:ascii="Courier New" w:hAnsi="Courier New" w:cs="Courier New"/>
    </w:rPr>
  </w:style>
  <w:style w:type="character" w:customStyle="1" w:styleId="339">
    <w:name w:val="WW8Num18z2"/>
    <w:uiPriority w:val="0"/>
    <w:rPr>
      <w:rFonts w:hint="default" w:ascii="Wingdings" w:hAnsi="Wingdings"/>
    </w:rPr>
  </w:style>
  <w:style w:type="character" w:customStyle="1" w:styleId="340">
    <w:name w:val="WW8Num19z0"/>
    <w:uiPriority w:val="0"/>
    <w:rPr>
      <w:rFonts w:hint="default" w:ascii="Symbol" w:hAnsi="Symbol"/>
    </w:rPr>
  </w:style>
  <w:style w:type="character" w:customStyle="1" w:styleId="341">
    <w:name w:val="WW8Num19z1"/>
    <w:uiPriority w:val="0"/>
    <w:rPr>
      <w:rFonts w:hint="default" w:ascii="Courier New" w:hAnsi="Courier New" w:cs="Courier New"/>
    </w:rPr>
  </w:style>
  <w:style w:type="character" w:customStyle="1" w:styleId="342">
    <w:name w:val="WW8Num19z2"/>
    <w:uiPriority w:val="0"/>
    <w:rPr>
      <w:rFonts w:hint="default" w:ascii="Wingdings" w:hAnsi="Wingdings"/>
    </w:rPr>
  </w:style>
  <w:style w:type="character" w:customStyle="1" w:styleId="343">
    <w:name w:val="WW8Num20z0"/>
    <w:uiPriority w:val="0"/>
    <w:rPr>
      <w:rFonts w:hint="default" w:ascii="Symbol" w:hAnsi="Symbol"/>
    </w:rPr>
  </w:style>
  <w:style w:type="character" w:customStyle="1" w:styleId="344">
    <w:name w:val="WW8Num20z1"/>
    <w:uiPriority w:val="0"/>
    <w:rPr>
      <w:rFonts w:hint="default" w:ascii="Courier New" w:hAnsi="Courier New" w:cs="Courier New"/>
    </w:rPr>
  </w:style>
  <w:style w:type="character" w:customStyle="1" w:styleId="345">
    <w:name w:val="WW8Num20z2"/>
    <w:uiPriority w:val="0"/>
    <w:rPr>
      <w:rFonts w:hint="default" w:ascii="Wingdings" w:hAnsi="Wingdings"/>
    </w:rPr>
  </w:style>
  <w:style w:type="character" w:customStyle="1" w:styleId="346">
    <w:name w:val="WW8Num21z0"/>
    <w:uiPriority w:val="0"/>
    <w:rPr>
      <w:rFonts w:hint="default" w:ascii="Symbol" w:hAnsi="Symbol"/>
    </w:rPr>
  </w:style>
  <w:style w:type="character" w:customStyle="1" w:styleId="347">
    <w:name w:val="WW8Num21z1"/>
    <w:uiPriority w:val="0"/>
    <w:rPr>
      <w:rFonts w:hint="default" w:ascii="Courier New" w:hAnsi="Courier New" w:cs="Courier New"/>
    </w:rPr>
  </w:style>
  <w:style w:type="character" w:customStyle="1" w:styleId="348">
    <w:name w:val="WW8Num21z2"/>
    <w:uiPriority w:val="0"/>
    <w:rPr>
      <w:rFonts w:hint="default" w:ascii="Wingdings" w:hAnsi="Wingdings"/>
    </w:rPr>
  </w:style>
  <w:style w:type="character" w:customStyle="1" w:styleId="349">
    <w:name w:val="WW8Num22z0"/>
    <w:uiPriority w:val="0"/>
    <w:rPr>
      <w:rFonts w:hint="default" w:ascii="Symbol" w:hAnsi="Symbol"/>
    </w:rPr>
  </w:style>
  <w:style w:type="character" w:customStyle="1" w:styleId="350">
    <w:name w:val="WW8Num22z1"/>
    <w:uiPriority w:val="0"/>
    <w:rPr>
      <w:rFonts w:hint="default" w:ascii="Courier New" w:hAnsi="Courier New" w:cs="Courier New"/>
    </w:rPr>
  </w:style>
  <w:style w:type="character" w:customStyle="1" w:styleId="351">
    <w:name w:val="WW8Num22z2"/>
    <w:uiPriority w:val="0"/>
    <w:rPr>
      <w:rFonts w:hint="default" w:ascii="Wingdings" w:hAnsi="Wingdings"/>
    </w:rPr>
  </w:style>
  <w:style w:type="character" w:customStyle="1" w:styleId="352">
    <w:name w:val="WW8Num24z0"/>
    <w:uiPriority w:val="0"/>
    <w:rPr>
      <w:rFonts w:hint="default" w:ascii="Symbol" w:hAnsi="Symbol"/>
    </w:rPr>
  </w:style>
  <w:style w:type="character" w:customStyle="1" w:styleId="353">
    <w:name w:val="WW8Num24z1"/>
    <w:uiPriority w:val="0"/>
    <w:rPr>
      <w:rFonts w:hint="default" w:ascii="Courier New" w:hAnsi="Courier New" w:cs="Courier New"/>
    </w:rPr>
  </w:style>
  <w:style w:type="character" w:customStyle="1" w:styleId="354">
    <w:name w:val="WW8Num24z2"/>
    <w:uiPriority w:val="0"/>
    <w:rPr>
      <w:rFonts w:hint="default" w:ascii="Wingdings" w:hAnsi="Wingdings"/>
    </w:rPr>
  </w:style>
  <w:style w:type="character" w:customStyle="1" w:styleId="355">
    <w:name w:val="WW8Num25z0"/>
    <w:uiPriority w:val="0"/>
    <w:rPr>
      <w:rFonts w:hint="default" w:ascii="Symbol" w:hAnsi="Symbol"/>
    </w:rPr>
  </w:style>
  <w:style w:type="character" w:customStyle="1" w:styleId="356">
    <w:name w:val="WW8Num25z1"/>
    <w:uiPriority w:val="0"/>
    <w:rPr>
      <w:rFonts w:hint="default" w:ascii="Courier New" w:hAnsi="Courier New" w:cs="Courier New"/>
    </w:rPr>
  </w:style>
  <w:style w:type="character" w:customStyle="1" w:styleId="357">
    <w:name w:val="WW8Num25z2"/>
    <w:uiPriority w:val="0"/>
    <w:rPr>
      <w:rFonts w:hint="default" w:ascii="Wingdings" w:hAnsi="Wingdings"/>
    </w:rPr>
  </w:style>
  <w:style w:type="character" w:customStyle="1" w:styleId="358">
    <w:name w:val="WW8Num26z0"/>
    <w:uiPriority w:val="0"/>
    <w:rPr>
      <w:rFonts w:hint="default" w:ascii="Symbol" w:hAnsi="Symbol"/>
    </w:rPr>
  </w:style>
  <w:style w:type="character" w:customStyle="1" w:styleId="359">
    <w:name w:val="WW8Num26z1"/>
    <w:uiPriority w:val="0"/>
    <w:rPr>
      <w:rFonts w:hint="default" w:ascii="Courier New" w:hAnsi="Courier New" w:cs="Courier New"/>
    </w:rPr>
  </w:style>
  <w:style w:type="character" w:customStyle="1" w:styleId="360">
    <w:name w:val="WW8Num26z2"/>
    <w:uiPriority w:val="0"/>
    <w:rPr>
      <w:rFonts w:hint="default" w:ascii="Wingdings" w:hAnsi="Wingdings"/>
    </w:rPr>
  </w:style>
  <w:style w:type="character" w:customStyle="1" w:styleId="361">
    <w:name w:val="WW8Num27z0"/>
    <w:uiPriority w:val="0"/>
    <w:rPr>
      <w:rFonts w:hint="default" w:ascii="Symbol" w:hAnsi="Symbol"/>
    </w:rPr>
  </w:style>
  <w:style w:type="character" w:customStyle="1" w:styleId="362">
    <w:name w:val="WW8Num27z1"/>
    <w:uiPriority w:val="0"/>
    <w:rPr>
      <w:rFonts w:hint="default" w:ascii="Courier New" w:hAnsi="Courier New" w:cs="Courier New"/>
    </w:rPr>
  </w:style>
  <w:style w:type="character" w:customStyle="1" w:styleId="363">
    <w:name w:val="WW8Num27z2"/>
    <w:uiPriority w:val="0"/>
    <w:rPr>
      <w:rFonts w:hint="default" w:ascii="Wingdings" w:hAnsi="Wingdings"/>
    </w:rPr>
  </w:style>
  <w:style w:type="character" w:customStyle="1" w:styleId="364">
    <w:name w:val="WW8Num28z0"/>
    <w:uiPriority w:val="0"/>
    <w:rPr>
      <w:rFonts w:hint="default" w:ascii="Symbol" w:hAnsi="Symbol"/>
    </w:rPr>
  </w:style>
  <w:style w:type="character" w:customStyle="1" w:styleId="365">
    <w:name w:val="WW8Num28z1"/>
    <w:uiPriority w:val="0"/>
    <w:rPr>
      <w:rFonts w:hint="default" w:ascii="Courier New" w:hAnsi="Courier New" w:cs="Courier New"/>
    </w:rPr>
  </w:style>
  <w:style w:type="character" w:customStyle="1" w:styleId="366">
    <w:name w:val="WW8Num28z2"/>
    <w:uiPriority w:val="0"/>
    <w:rPr>
      <w:rFonts w:hint="default" w:ascii="Wingdings" w:hAnsi="Wingdings"/>
    </w:rPr>
  </w:style>
  <w:style w:type="character" w:customStyle="1" w:styleId="367">
    <w:name w:val="WW8Num29z0"/>
    <w:uiPriority w:val="0"/>
    <w:rPr>
      <w:rFonts w:hint="default" w:ascii="Symbol" w:hAnsi="Symbol"/>
    </w:rPr>
  </w:style>
  <w:style w:type="character" w:customStyle="1" w:styleId="368">
    <w:name w:val="WW8Num29z1"/>
    <w:uiPriority w:val="0"/>
    <w:rPr>
      <w:rFonts w:hint="default" w:ascii="Courier New" w:hAnsi="Courier New" w:cs="Courier New"/>
    </w:rPr>
  </w:style>
  <w:style w:type="character" w:customStyle="1" w:styleId="369">
    <w:name w:val="WW8Num29z2"/>
    <w:uiPriority w:val="0"/>
    <w:rPr>
      <w:rFonts w:hint="default" w:ascii="Wingdings" w:hAnsi="Wingdings"/>
    </w:rPr>
  </w:style>
  <w:style w:type="character" w:customStyle="1" w:styleId="370">
    <w:name w:val="WW8Num30z2"/>
    <w:uiPriority w:val="0"/>
    <w:rPr>
      <w:rFonts w:hint="default" w:ascii="Wingdings" w:hAnsi="Wingdings"/>
    </w:rPr>
  </w:style>
  <w:style w:type="character" w:customStyle="1" w:styleId="371">
    <w:name w:val="WW8Num30z3"/>
    <w:uiPriority w:val="0"/>
    <w:rPr>
      <w:rFonts w:hint="default" w:ascii="Symbol" w:hAnsi="Symbol"/>
    </w:rPr>
  </w:style>
  <w:style w:type="character" w:customStyle="1" w:styleId="372">
    <w:name w:val="WW8Num30z4"/>
    <w:uiPriority w:val="0"/>
    <w:rPr>
      <w:rFonts w:hint="default" w:ascii="Courier New" w:hAnsi="Courier New" w:cs="Courier New"/>
    </w:rPr>
  </w:style>
  <w:style w:type="character" w:customStyle="1" w:styleId="373">
    <w:name w:val="WW8Num31z0"/>
    <w:uiPriority w:val="0"/>
    <w:rPr>
      <w:rFonts w:hint="default" w:ascii="Symbol" w:hAnsi="Symbol"/>
    </w:rPr>
  </w:style>
  <w:style w:type="character" w:customStyle="1" w:styleId="374">
    <w:name w:val="WW8Num31z1"/>
    <w:uiPriority w:val="0"/>
    <w:rPr>
      <w:rFonts w:hint="default" w:ascii="Courier New" w:hAnsi="Courier New" w:cs="Courier New"/>
    </w:rPr>
  </w:style>
  <w:style w:type="character" w:customStyle="1" w:styleId="375">
    <w:name w:val="WW8Num31z2"/>
    <w:uiPriority w:val="0"/>
    <w:rPr>
      <w:rFonts w:hint="default" w:ascii="Wingdings" w:hAnsi="Wingdings"/>
    </w:rPr>
  </w:style>
  <w:style w:type="character" w:customStyle="1" w:styleId="376">
    <w:name w:val="WW8Num32z0"/>
    <w:uiPriority w:val="0"/>
    <w:rPr>
      <w:rFonts w:hint="default" w:ascii="Symbol" w:hAnsi="Symbol"/>
      <w:color w:val="auto"/>
    </w:rPr>
  </w:style>
  <w:style w:type="character" w:customStyle="1" w:styleId="377">
    <w:name w:val="WW8Num32z1"/>
    <w:uiPriority w:val="0"/>
    <w:rPr>
      <w:rFonts w:hint="default" w:ascii="Courier New" w:hAnsi="Courier New" w:cs="Courier New"/>
    </w:rPr>
  </w:style>
  <w:style w:type="character" w:customStyle="1" w:styleId="378">
    <w:name w:val="WW8Num32z2"/>
    <w:uiPriority w:val="0"/>
    <w:rPr>
      <w:rFonts w:hint="default" w:ascii="Wingdings" w:hAnsi="Wingdings"/>
    </w:rPr>
  </w:style>
  <w:style w:type="character" w:customStyle="1" w:styleId="379">
    <w:name w:val="WW8Num32z3"/>
    <w:uiPriority w:val="0"/>
    <w:rPr>
      <w:rFonts w:hint="default" w:ascii="Symbol" w:hAnsi="Symbol"/>
    </w:rPr>
  </w:style>
  <w:style w:type="character" w:customStyle="1" w:styleId="380">
    <w:name w:val="WW8Num35z0"/>
    <w:uiPriority w:val="0"/>
    <w:rPr>
      <w:rFonts w:hint="default" w:ascii="Symbol" w:hAnsi="Symbol"/>
    </w:rPr>
  </w:style>
  <w:style w:type="character" w:customStyle="1" w:styleId="381">
    <w:name w:val="WW8Num35z1"/>
    <w:uiPriority w:val="0"/>
    <w:rPr>
      <w:rFonts w:hint="default" w:ascii="Courier New" w:hAnsi="Courier New" w:cs="Courier New"/>
    </w:rPr>
  </w:style>
  <w:style w:type="character" w:customStyle="1" w:styleId="382">
    <w:name w:val="WW8Num35z2"/>
    <w:uiPriority w:val="0"/>
    <w:rPr>
      <w:rFonts w:hint="default" w:ascii="Wingdings" w:hAnsi="Wingdings"/>
    </w:rPr>
  </w:style>
  <w:style w:type="character" w:customStyle="1" w:styleId="383">
    <w:name w:val="WW8Num36z0"/>
    <w:uiPriority w:val="0"/>
    <w:rPr>
      <w:rFonts w:hint="default" w:ascii="Symbol" w:hAnsi="Symbol"/>
    </w:rPr>
  </w:style>
  <w:style w:type="character" w:customStyle="1" w:styleId="384">
    <w:name w:val="WW8Num36z1"/>
    <w:uiPriority w:val="0"/>
    <w:rPr>
      <w:rFonts w:hint="default" w:ascii="Courier New" w:hAnsi="Courier New" w:cs="Courier New"/>
    </w:rPr>
  </w:style>
  <w:style w:type="character" w:customStyle="1" w:styleId="385">
    <w:name w:val="WW8Num36z2"/>
    <w:uiPriority w:val="0"/>
    <w:rPr>
      <w:rFonts w:hint="default" w:ascii="Wingdings" w:hAnsi="Wingdings"/>
    </w:rPr>
  </w:style>
  <w:style w:type="character" w:customStyle="1" w:styleId="386">
    <w:name w:val="WW8Num37z0"/>
    <w:uiPriority w:val="0"/>
    <w:rPr>
      <w:rFonts w:hint="default" w:ascii="Symbol" w:hAnsi="Symbol"/>
    </w:rPr>
  </w:style>
  <w:style w:type="character" w:customStyle="1" w:styleId="387">
    <w:name w:val="WW8Num37z1"/>
    <w:uiPriority w:val="0"/>
    <w:rPr>
      <w:rFonts w:hint="default" w:ascii="Courier New" w:hAnsi="Courier New" w:cs="Courier New"/>
    </w:rPr>
  </w:style>
  <w:style w:type="character" w:customStyle="1" w:styleId="388">
    <w:name w:val="WW8Num37z2"/>
    <w:uiPriority w:val="0"/>
    <w:rPr>
      <w:rFonts w:hint="default" w:ascii="Wingdings" w:hAnsi="Wingdings"/>
    </w:rPr>
  </w:style>
  <w:style w:type="character" w:customStyle="1" w:styleId="389">
    <w:name w:val="WW8Num38z0"/>
    <w:uiPriority w:val="0"/>
    <w:rPr>
      <w:rFonts w:hint="default" w:ascii="Symbol" w:hAnsi="Symbol"/>
    </w:rPr>
  </w:style>
  <w:style w:type="character" w:customStyle="1" w:styleId="390">
    <w:name w:val="WW8Num38z1"/>
    <w:uiPriority w:val="0"/>
    <w:rPr>
      <w:rFonts w:hint="default" w:ascii="Courier New" w:hAnsi="Courier New" w:cs="Courier New"/>
    </w:rPr>
  </w:style>
  <w:style w:type="character" w:customStyle="1" w:styleId="391">
    <w:name w:val="WW8Num38z2"/>
    <w:uiPriority w:val="0"/>
    <w:rPr>
      <w:rFonts w:hint="default" w:ascii="Wingdings" w:hAnsi="Wingdings"/>
    </w:rPr>
  </w:style>
  <w:style w:type="character" w:customStyle="1" w:styleId="392">
    <w:name w:val="WW8Num41z0"/>
    <w:uiPriority w:val="0"/>
    <w:rPr>
      <w:rFonts w:hint="default" w:ascii="Symbol" w:hAnsi="Symbol"/>
    </w:rPr>
  </w:style>
  <w:style w:type="character" w:customStyle="1" w:styleId="393">
    <w:name w:val="WW8Num41z1"/>
    <w:uiPriority w:val="0"/>
    <w:rPr>
      <w:rFonts w:hint="default" w:ascii="Courier New" w:hAnsi="Courier New" w:cs="Courier New"/>
    </w:rPr>
  </w:style>
  <w:style w:type="character" w:customStyle="1" w:styleId="394">
    <w:name w:val="WW8Num41z2"/>
    <w:uiPriority w:val="0"/>
    <w:rPr>
      <w:rFonts w:hint="default" w:ascii="Wingdings" w:hAnsi="Wingdings"/>
    </w:rPr>
  </w:style>
  <w:style w:type="character" w:customStyle="1" w:styleId="395">
    <w:name w:val="WW8Num42z0"/>
    <w:uiPriority w:val="0"/>
    <w:rPr>
      <w:rFonts w:hint="default" w:ascii="Symbol" w:hAnsi="Symbol"/>
    </w:rPr>
  </w:style>
  <w:style w:type="character" w:customStyle="1" w:styleId="396">
    <w:name w:val="WW8Num42z1"/>
    <w:uiPriority w:val="0"/>
    <w:rPr>
      <w:rFonts w:hint="default" w:ascii="Courier New" w:hAnsi="Courier New" w:cs="Courier New"/>
    </w:rPr>
  </w:style>
  <w:style w:type="character" w:customStyle="1" w:styleId="397">
    <w:name w:val="WW8Num42z2"/>
    <w:uiPriority w:val="0"/>
    <w:rPr>
      <w:rFonts w:hint="default" w:ascii="Wingdings" w:hAnsi="Wingdings"/>
    </w:rPr>
  </w:style>
  <w:style w:type="character" w:customStyle="1" w:styleId="398">
    <w:name w:val="WW8Num43z0"/>
    <w:uiPriority w:val="0"/>
    <w:rPr>
      <w:rFonts w:hint="default" w:ascii="Symbol" w:hAnsi="Symbol"/>
    </w:rPr>
  </w:style>
  <w:style w:type="character" w:customStyle="1" w:styleId="399">
    <w:name w:val="WW8Num43z1"/>
    <w:uiPriority w:val="0"/>
    <w:rPr>
      <w:rFonts w:hint="default" w:ascii="Courier New" w:hAnsi="Courier New" w:cs="Courier New"/>
    </w:rPr>
  </w:style>
  <w:style w:type="character" w:customStyle="1" w:styleId="400">
    <w:name w:val="WW8Num43z2"/>
    <w:uiPriority w:val="0"/>
    <w:rPr>
      <w:rFonts w:hint="default" w:ascii="Wingdings" w:hAnsi="Wingdings"/>
    </w:rPr>
  </w:style>
  <w:style w:type="character" w:customStyle="1" w:styleId="401">
    <w:name w:val="WW8Num44z0"/>
    <w:uiPriority w:val="0"/>
    <w:rPr>
      <w:rFonts w:hint="default" w:ascii="Symbol" w:hAnsi="Symbol"/>
    </w:rPr>
  </w:style>
  <w:style w:type="character" w:customStyle="1" w:styleId="402">
    <w:name w:val="WW8Num44z1"/>
    <w:uiPriority w:val="0"/>
    <w:rPr>
      <w:rFonts w:hint="default" w:ascii="Courier New" w:hAnsi="Courier New" w:cs="Courier New"/>
    </w:rPr>
  </w:style>
  <w:style w:type="character" w:customStyle="1" w:styleId="403">
    <w:name w:val="WW8Num44z2"/>
    <w:uiPriority w:val="0"/>
    <w:rPr>
      <w:rFonts w:hint="default" w:ascii="Wingdings" w:hAnsi="Wingdings"/>
    </w:rPr>
  </w:style>
  <w:style w:type="character" w:customStyle="1" w:styleId="404">
    <w:name w:val="WW8Num45z0"/>
    <w:uiPriority w:val="0"/>
    <w:rPr>
      <w:rFonts w:hint="default" w:ascii="Symbol" w:hAnsi="Symbol"/>
    </w:rPr>
  </w:style>
  <w:style w:type="character" w:customStyle="1" w:styleId="405">
    <w:name w:val="WW8Num45z1"/>
    <w:uiPriority w:val="0"/>
    <w:rPr>
      <w:rFonts w:hint="default" w:ascii="Courier New" w:hAnsi="Courier New" w:cs="Courier New"/>
    </w:rPr>
  </w:style>
  <w:style w:type="character" w:customStyle="1" w:styleId="406">
    <w:name w:val="WW8Num45z2"/>
    <w:uiPriority w:val="0"/>
    <w:rPr>
      <w:rFonts w:hint="default" w:ascii="Wingdings" w:hAnsi="Wingdings"/>
    </w:rPr>
  </w:style>
  <w:style w:type="character" w:customStyle="1" w:styleId="407">
    <w:name w:val="WW8Num46z0"/>
    <w:uiPriority w:val="0"/>
    <w:rPr>
      <w:rFonts w:hint="default" w:ascii="Symbol" w:hAnsi="Symbol"/>
    </w:rPr>
  </w:style>
  <w:style w:type="character" w:customStyle="1" w:styleId="408">
    <w:name w:val="WW8Num46z1"/>
    <w:uiPriority w:val="0"/>
    <w:rPr>
      <w:rFonts w:hint="default" w:ascii="Courier New" w:hAnsi="Courier New" w:cs="Courier New"/>
    </w:rPr>
  </w:style>
  <w:style w:type="character" w:customStyle="1" w:styleId="409">
    <w:name w:val="WW8Num46z2"/>
    <w:uiPriority w:val="0"/>
    <w:rPr>
      <w:rFonts w:hint="default" w:ascii="Wingdings" w:hAnsi="Wingdings"/>
    </w:rPr>
  </w:style>
  <w:style w:type="character" w:customStyle="1" w:styleId="410">
    <w:name w:val="WW8Num47z0"/>
    <w:uiPriority w:val="0"/>
    <w:rPr>
      <w:rFonts w:hint="default" w:ascii="Symbol" w:hAnsi="Symbol"/>
    </w:rPr>
  </w:style>
  <w:style w:type="character" w:customStyle="1" w:styleId="411">
    <w:name w:val="WW8Num47z1"/>
    <w:uiPriority w:val="0"/>
    <w:rPr>
      <w:rFonts w:hint="default" w:ascii="Courier New" w:hAnsi="Courier New" w:cs="Courier New"/>
    </w:rPr>
  </w:style>
  <w:style w:type="character" w:customStyle="1" w:styleId="412">
    <w:name w:val="WW8Num47z2"/>
    <w:uiPriority w:val="0"/>
    <w:rPr>
      <w:rFonts w:hint="default" w:ascii="Wingdings" w:hAnsi="Wingdings"/>
    </w:rPr>
  </w:style>
  <w:style w:type="character" w:customStyle="1" w:styleId="413">
    <w:name w:val="Основной шрифт абзаца1"/>
    <w:uiPriority w:val="0"/>
  </w:style>
  <w:style w:type="character" w:customStyle="1" w:styleId="414">
    <w:name w:val="Знак Знак Знак"/>
    <w:uiPriority w:val="0"/>
    <w:rPr>
      <w:rFonts w:hint="default" w:ascii="Arial" w:hAnsi="Arial" w:cs="Arial"/>
      <w:b/>
      <w:bCs/>
      <w:i/>
      <w:sz w:val="24"/>
      <w:szCs w:val="26"/>
      <w:lang w:val="ru-RU" w:eastAsia="ar-SA" w:bidi="ar-SA"/>
    </w:rPr>
  </w:style>
  <w:style w:type="character" w:customStyle="1" w:styleId="415">
    <w:name w:val="Стиль Заголовок 3 + не курсив Знак"/>
    <w:uiPriority w:val="0"/>
    <w:rPr>
      <w:rFonts w:hint="default" w:ascii="Arial" w:hAnsi="Arial" w:eastAsia="Times New Roman" w:cs="Arial"/>
      <w:sz w:val="24"/>
      <w:szCs w:val="26"/>
      <w:lang w:eastAsia="ar-SA"/>
    </w:rPr>
  </w:style>
  <w:style w:type="character" w:customStyle="1" w:styleId="416">
    <w:name w:val="Знак примечания1"/>
    <w:uiPriority w:val="0"/>
    <w:rPr>
      <w:sz w:val="16"/>
      <w:szCs w:val="16"/>
    </w:rPr>
  </w:style>
  <w:style w:type="character" w:customStyle="1" w:styleId="417">
    <w:name w:val="Стиль Черный"/>
    <w:uiPriority w:val="0"/>
    <w:rPr>
      <w:rFonts w:hint="default" w:ascii="Times New Roman" w:hAnsi="Times New Roman" w:cs="Times New Roman"/>
      <w:color w:val="000000"/>
      <w:sz w:val="24"/>
    </w:rPr>
  </w:style>
  <w:style w:type="character" w:customStyle="1" w:styleId="418">
    <w:name w:val="Знак Знак Знак Знак"/>
    <w:uiPriority w:val="0"/>
    <w:rPr>
      <w:sz w:val="24"/>
      <w:szCs w:val="24"/>
      <w:lang w:val="ru-RU" w:eastAsia="ar-SA" w:bidi="ar-SA"/>
    </w:rPr>
  </w:style>
  <w:style w:type="character" w:customStyle="1" w:styleId="419">
    <w:name w:val="Знак Знак2"/>
    <w:uiPriority w:val="0"/>
    <w:rPr>
      <w:b/>
      <w:sz w:val="28"/>
      <w:lang w:val="ru-RU" w:eastAsia="ar-SA" w:bidi="ar-SA"/>
    </w:rPr>
  </w:style>
  <w:style w:type="character" w:customStyle="1" w:styleId="420">
    <w:name w:val="Символ сноски"/>
    <w:uiPriority w:val="0"/>
    <w:rPr>
      <w:vertAlign w:val="superscript"/>
    </w:rPr>
  </w:style>
  <w:style w:type="character" w:customStyle="1" w:styleId="421">
    <w:name w:val="Стиль Название объекта + 12 пт Знак"/>
    <w:uiPriority w:val="0"/>
    <w:rPr>
      <w:b/>
      <w:bCs/>
      <w:sz w:val="24"/>
      <w:lang w:val="ru-RU" w:eastAsia="ar-SA" w:bidi="ar-SA"/>
    </w:rPr>
  </w:style>
  <w:style w:type="character" w:customStyle="1" w:styleId="422">
    <w:name w:val="Символы концевой сноски"/>
    <w:uiPriority w:val="0"/>
  </w:style>
  <w:style w:type="paragraph" w:customStyle="1" w:styleId="423">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24">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style>
  <w:style w:type="paragraph" w:customStyle="1" w:styleId="42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26">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2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style>
  <w:style w:type="paragraph" w:customStyle="1" w:styleId="428">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429">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30">
    <w:name w:val="xl3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b/>
      <w:bCs/>
    </w:rPr>
  </w:style>
  <w:style w:type="paragraph" w:customStyle="1" w:styleId="431">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style>
  <w:style w:type="paragraph" w:customStyle="1" w:styleId="432">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style>
  <w:style w:type="paragraph" w:customStyle="1" w:styleId="433">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000000"/>
    </w:rPr>
  </w:style>
  <w:style w:type="paragraph" w:customStyle="1" w:styleId="434">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435">
    <w:name w:val="xl36"/>
    <w:basedOn w:val="1"/>
    <w:qFormat/>
    <w:uiPriority w:val="99"/>
    <w:pPr>
      <w:pBdr>
        <w:top w:val="single" w:color="auto" w:sz="4" w:space="0"/>
        <w:left w:val="single" w:color="auto" w:sz="4" w:space="0"/>
        <w:bottom w:val="single" w:color="auto" w:sz="4" w:space="0"/>
      </w:pBdr>
      <w:spacing w:before="100" w:beforeAutospacing="1" w:after="100" w:afterAutospacing="1"/>
      <w:jc w:val="center"/>
    </w:pPr>
  </w:style>
  <w:style w:type="paragraph" w:customStyle="1" w:styleId="436">
    <w:name w:val="xl37"/>
    <w:basedOn w:val="1"/>
    <w:qFormat/>
    <w:uiPriority w:val="0"/>
    <w:pPr>
      <w:pBdr>
        <w:top w:val="single" w:color="auto" w:sz="4" w:space="0"/>
        <w:left w:val="single" w:color="auto" w:sz="4" w:space="0"/>
        <w:right w:val="single" w:color="auto" w:sz="4" w:space="0"/>
      </w:pBdr>
      <w:spacing w:before="100" w:beforeAutospacing="1" w:after="100" w:afterAutospacing="1"/>
      <w:jc w:val="center"/>
    </w:pPr>
  </w:style>
  <w:style w:type="paragraph" w:customStyle="1" w:styleId="437">
    <w:name w:val="xl38"/>
    <w:basedOn w:val="1"/>
    <w:qFormat/>
    <w:uiPriority w:val="0"/>
    <w:pPr>
      <w:pBdr>
        <w:top w:val="single" w:color="auto" w:sz="4" w:space="0"/>
        <w:left w:val="single" w:color="auto" w:sz="4" w:space="0"/>
        <w:right w:val="single" w:color="auto" w:sz="4" w:space="0"/>
      </w:pBdr>
      <w:spacing w:before="100" w:beforeAutospacing="1" w:after="100" w:afterAutospacing="1"/>
      <w:textAlignment w:val="top"/>
    </w:pPr>
  </w:style>
  <w:style w:type="paragraph" w:customStyle="1" w:styleId="438">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439">
    <w:name w:val="xl40"/>
    <w:basedOn w:val="1"/>
    <w:qFormat/>
    <w:uiPriority w:val="0"/>
    <w:pPr>
      <w:pBdr>
        <w:top w:val="single" w:color="auto" w:sz="4" w:space="0"/>
        <w:left w:val="single" w:color="auto" w:sz="4" w:space="0"/>
      </w:pBdr>
      <w:spacing w:before="100" w:beforeAutospacing="1" w:after="100" w:afterAutospacing="1"/>
    </w:pPr>
  </w:style>
  <w:style w:type="paragraph" w:customStyle="1" w:styleId="440">
    <w:name w:val="xl41"/>
    <w:basedOn w:val="1"/>
    <w:qFormat/>
    <w:uiPriority w:val="0"/>
    <w:pPr>
      <w:pBdr>
        <w:top w:val="single" w:color="auto" w:sz="4" w:space="0"/>
        <w:left w:val="single" w:color="auto" w:sz="4" w:space="0"/>
        <w:bottom w:val="single" w:color="auto" w:sz="4" w:space="0"/>
      </w:pBdr>
      <w:spacing w:before="100" w:beforeAutospacing="1" w:after="100" w:afterAutospacing="1"/>
    </w:pPr>
  </w:style>
  <w:style w:type="paragraph" w:customStyle="1" w:styleId="441">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42">
    <w:name w:val="xl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43">
    <w:name w:val="xl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000000"/>
    </w:rPr>
  </w:style>
  <w:style w:type="paragraph" w:customStyle="1" w:styleId="444">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style>
  <w:style w:type="paragraph" w:customStyle="1" w:styleId="445">
    <w:name w:val="xl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46">
    <w:name w:val="xl47"/>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rPr>
  </w:style>
  <w:style w:type="paragraph" w:customStyle="1" w:styleId="447">
    <w:name w:val="xl48"/>
    <w:basedOn w:val="1"/>
    <w:qFormat/>
    <w:uiPriority w:val="0"/>
    <w:pPr>
      <w:pBdr>
        <w:top w:val="single" w:color="auto" w:sz="4" w:space="0"/>
        <w:bottom w:val="single" w:color="auto" w:sz="4" w:space="0"/>
      </w:pBdr>
      <w:spacing w:before="100" w:beforeAutospacing="1" w:after="100" w:afterAutospacing="1"/>
      <w:jc w:val="center"/>
    </w:pPr>
    <w:rPr>
      <w:b/>
      <w:bCs/>
    </w:rPr>
  </w:style>
  <w:style w:type="paragraph" w:customStyle="1" w:styleId="448">
    <w:name w:val="xl49"/>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449">
    <w:name w:val="xl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50">
    <w:name w:val="xl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51">
    <w:name w:val="xl52"/>
    <w:basedOn w:val="1"/>
    <w:qFormat/>
    <w:uiPriority w:val="0"/>
    <w:pPr>
      <w:pBdr>
        <w:left w:val="single" w:color="auto" w:sz="4" w:space="0"/>
        <w:bottom w:val="single" w:color="auto" w:sz="4" w:space="0"/>
      </w:pBdr>
      <w:spacing w:before="100" w:beforeAutospacing="1" w:after="100" w:afterAutospacing="1"/>
      <w:jc w:val="center"/>
    </w:pPr>
    <w:rPr>
      <w:b/>
      <w:bCs/>
    </w:rPr>
  </w:style>
  <w:style w:type="paragraph" w:customStyle="1" w:styleId="452">
    <w:name w:val="xl53"/>
    <w:basedOn w:val="1"/>
    <w:qFormat/>
    <w:uiPriority w:val="0"/>
    <w:pPr>
      <w:pBdr>
        <w:bottom w:val="single" w:color="auto" w:sz="4" w:space="0"/>
      </w:pBdr>
      <w:spacing w:before="100" w:beforeAutospacing="1" w:after="100" w:afterAutospacing="1"/>
      <w:jc w:val="center"/>
    </w:pPr>
    <w:rPr>
      <w:b/>
      <w:bCs/>
    </w:rPr>
  </w:style>
  <w:style w:type="paragraph" w:customStyle="1" w:styleId="453">
    <w:name w:val="xl54"/>
    <w:basedOn w:val="1"/>
    <w:qFormat/>
    <w:uiPriority w:val="0"/>
    <w:pPr>
      <w:pBdr>
        <w:left w:val="single" w:color="auto" w:sz="4" w:space="0"/>
      </w:pBdr>
      <w:spacing w:before="100" w:beforeAutospacing="1" w:after="100" w:afterAutospacing="1"/>
      <w:jc w:val="center"/>
    </w:pPr>
    <w:rPr>
      <w:b/>
      <w:bCs/>
    </w:rPr>
  </w:style>
  <w:style w:type="paragraph" w:customStyle="1" w:styleId="454">
    <w:name w:val="xl55"/>
    <w:basedOn w:val="1"/>
    <w:qFormat/>
    <w:uiPriority w:val="0"/>
    <w:pPr>
      <w:spacing w:before="100" w:beforeAutospacing="1" w:after="100" w:afterAutospacing="1"/>
      <w:jc w:val="center"/>
    </w:pPr>
    <w:rPr>
      <w:b/>
      <w:bCs/>
    </w:rPr>
  </w:style>
  <w:style w:type="paragraph" w:customStyle="1" w:styleId="455">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56">
    <w:name w:val="xl57"/>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rPr>
  </w:style>
  <w:style w:type="paragraph" w:customStyle="1" w:styleId="457">
    <w:name w:val="xl58"/>
    <w:basedOn w:val="1"/>
    <w:qFormat/>
    <w:uiPriority w:val="0"/>
    <w:pPr>
      <w:pBdr>
        <w:top w:val="single" w:color="auto" w:sz="4" w:space="0"/>
        <w:bottom w:val="single" w:color="auto" w:sz="4" w:space="0"/>
      </w:pBdr>
      <w:spacing w:before="100" w:beforeAutospacing="1" w:after="100" w:afterAutospacing="1"/>
      <w:jc w:val="center"/>
    </w:pPr>
    <w:rPr>
      <w:b/>
      <w:bCs/>
    </w:rPr>
  </w:style>
  <w:style w:type="paragraph" w:customStyle="1" w:styleId="458">
    <w:name w:val="xl59"/>
    <w:basedOn w:val="1"/>
    <w:qFormat/>
    <w:uiPriority w:val="0"/>
    <w:pPr>
      <w:pBdr>
        <w:top w:val="single" w:color="auto" w:sz="4" w:space="0"/>
        <w:left w:val="single" w:color="auto" w:sz="4" w:space="0"/>
        <w:right w:val="single" w:color="auto" w:sz="4" w:space="0"/>
      </w:pBdr>
      <w:spacing w:before="100" w:beforeAutospacing="1" w:after="100" w:afterAutospacing="1"/>
      <w:jc w:val="center"/>
    </w:pPr>
    <w:rPr>
      <w:b/>
      <w:bCs/>
    </w:rPr>
  </w:style>
  <w:style w:type="paragraph" w:customStyle="1" w:styleId="459">
    <w:name w:val="xl60"/>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rPr>
  </w:style>
  <w:style w:type="character" w:customStyle="1" w:styleId="460">
    <w:name w:val="Текст сноски Знак2"/>
    <w:uiPriority w:val="0"/>
    <w:rPr>
      <w:lang w:val="ru-RU" w:eastAsia="ru-RU" w:bidi="ar-SA"/>
    </w:rPr>
  </w:style>
  <w:style w:type="paragraph" w:customStyle="1" w:styleId="461">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462">
    <w:name w:val="Основной_10"/>
    <w:basedOn w:val="1"/>
    <w:qFormat/>
    <w:uiPriority w:val="0"/>
    <w:pPr>
      <w:ind w:left="567" w:firstLine="284"/>
      <w:jc w:val="both"/>
    </w:pPr>
    <w:rPr>
      <w:sz w:val="21"/>
    </w:rPr>
  </w:style>
  <w:style w:type="paragraph" w:customStyle="1" w:styleId="463">
    <w:name w:val="Верхний колонтитул1"/>
    <w:basedOn w:val="1"/>
    <w:qFormat/>
    <w:uiPriority w:val="0"/>
    <w:pPr>
      <w:spacing w:before="100" w:beforeAutospacing="1" w:after="100" w:afterAutospacing="1"/>
    </w:pPr>
  </w:style>
  <w:style w:type="character" w:customStyle="1" w:styleId="464">
    <w:name w:val="Знак Знак212"/>
    <w:uiPriority w:val="0"/>
    <w:rPr>
      <w:sz w:val="24"/>
      <w:szCs w:val="24"/>
      <w:lang w:val="ru-RU" w:eastAsia="ru-RU" w:bidi="ar-SA"/>
    </w:rPr>
  </w:style>
  <w:style w:type="character" w:customStyle="1" w:styleId="465">
    <w:name w:val="Знак Знак292"/>
    <w:uiPriority w:val="0"/>
    <w:rPr>
      <w:rFonts w:ascii="Arial" w:hAnsi="Arial" w:cs="Arial"/>
      <w:b/>
      <w:bCs/>
      <w:sz w:val="26"/>
      <w:szCs w:val="26"/>
      <w:lang w:val="ru-RU" w:eastAsia="ru-RU" w:bidi="ar-SA"/>
    </w:rPr>
  </w:style>
  <w:style w:type="character" w:customStyle="1" w:styleId="466">
    <w:name w:val="Знак Знак211"/>
    <w:uiPriority w:val="0"/>
    <w:rPr>
      <w:sz w:val="24"/>
      <w:szCs w:val="24"/>
      <w:lang w:val="ru-RU" w:eastAsia="ru-RU" w:bidi="ar-SA"/>
    </w:rPr>
  </w:style>
  <w:style w:type="character" w:customStyle="1" w:styleId="467">
    <w:name w:val="Знак Знак291"/>
    <w:uiPriority w:val="0"/>
    <w:rPr>
      <w:rFonts w:ascii="Arial" w:hAnsi="Arial" w:cs="Arial"/>
      <w:b/>
      <w:bCs/>
      <w:sz w:val="26"/>
      <w:szCs w:val="26"/>
      <w:lang w:val="ru-RU" w:eastAsia="ru-RU" w:bidi="ar-SA"/>
    </w:rPr>
  </w:style>
  <w:style w:type="character" w:customStyle="1" w:styleId="468">
    <w:name w:val="Основной текст с отступом 2 Знак2 Знак"/>
    <w:uiPriority w:val="0"/>
    <w:rPr>
      <w:rFonts w:ascii="Times New Roman" w:hAnsi="Times New Roman" w:eastAsia="Times New Roman" w:cs="Times New Roman"/>
      <w:sz w:val="24"/>
      <w:szCs w:val="24"/>
      <w:lang w:eastAsia="ru-RU"/>
    </w:rPr>
  </w:style>
  <w:style w:type="paragraph" w:styleId="469">
    <w:name w:val="No Spacing"/>
    <w:link w:val="513"/>
    <w:qFormat/>
    <w:uiPriority w:val="1"/>
    <w:pPr>
      <w:suppressAutoHyphens/>
      <w:ind w:firstLine="573"/>
    </w:pPr>
    <w:rPr>
      <w:rFonts w:ascii="Calibri" w:hAnsi="Calibri" w:eastAsia="Times New Roman" w:cs="Times New Roman"/>
      <w:sz w:val="22"/>
      <w:szCs w:val="22"/>
      <w:lang w:val="ru-RU" w:eastAsia="zh-CN" w:bidi="ar-SA"/>
    </w:rPr>
  </w:style>
  <w:style w:type="character" w:customStyle="1" w:styleId="470">
    <w:name w:val="Нижний колонтитул Знак2"/>
    <w:uiPriority w:val="99"/>
    <w:rPr>
      <w:rFonts w:ascii="Times New Roman" w:hAnsi="Times New Roman" w:eastAsia="Times New Roman" w:cs="Times New Roman"/>
      <w:sz w:val="24"/>
      <w:szCs w:val="24"/>
      <w:lang w:eastAsia="ru-RU"/>
    </w:rPr>
  </w:style>
  <w:style w:type="character" w:customStyle="1" w:styleId="471">
    <w:name w:val="Текст сноски Знак3"/>
    <w:uiPriority w:val="0"/>
    <w:rPr>
      <w:rFonts w:ascii="Times New Roman" w:hAnsi="Times New Roman" w:eastAsia="Times New Roman" w:cs="Times New Roman"/>
      <w:sz w:val="20"/>
      <w:szCs w:val="20"/>
      <w:lang w:eastAsia="ru-RU"/>
    </w:rPr>
  </w:style>
  <w:style w:type="paragraph" w:customStyle="1" w:styleId="472">
    <w:name w:val="Заголовок_Паспорт программы"/>
    <w:basedOn w:val="2"/>
    <w:qFormat/>
    <w:uiPriority w:val="0"/>
    <w:pPr>
      <w:suppressAutoHyphens w:val="0"/>
      <w:ind w:left="0" w:right="0"/>
    </w:pPr>
    <w:rPr>
      <w:rFonts w:ascii="Times New Roman" w:hAnsi="Times New Roman"/>
      <w:caps/>
      <w:color w:val="auto"/>
      <w:sz w:val="32"/>
      <w:szCs w:val="32"/>
    </w:rPr>
  </w:style>
  <w:style w:type="character" w:customStyle="1" w:styleId="473">
    <w:name w:val="Основной текст с отступом 2 Знак Знак1"/>
    <w:uiPriority w:val="0"/>
    <w:rPr>
      <w:sz w:val="24"/>
      <w:szCs w:val="24"/>
    </w:rPr>
  </w:style>
  <w:style w:type="paragraph" w:customStyle="1" w:styleId="474">
    <w:name w:val="rvps3"/>
    <w:basedOn w:val="1"/>
    <w:qFormat/>
    <w:uiPriority w:val="0"/>
    <w:pPr>
      <w:spacing w:before="100" w:beforeAutospacing="1" w:after="100" w:afterAutospacing="1"/>
    </w:pPr>
  </w:style>
  <w:style w:type="character" w:customStyle="1" w:styleId="475">
    <w:name w:val="rvts7"/>
    <w:basedOn w:val="88"/>
    <w:uiPriority w:val="0"/>
  </w:style>
  <w:style w:type="character" w:customStyle="1" w:styleId="476">
    <w:name w:val="Заголовок 1 Знак1"/>
    <w:uiPriority w:val="9"/>
    <w:rPr>
      <w:rFonts w:ascii="Cambria" w:hAnsi="Cambria" w:eastAsia="Times New Roman" w:cs="Times New Roman"/>
      <w:b/>
      <w:bCs/>
      <w:color w:val="365F91"/>
      <w:sz w:val="28"/>
      <w:szCs w:val="28"/>
    </w:rPr>
  </w:style>
  <w:style w:type="character" w:customStyle="1" w:styleId="477">
    <w:name w:val="grame"/>
    <w:basedOn w:val="88"/>
    <w:uiPriority w:val="0"/>
  </w:style>
  <w:style w:type="character" w:customStyle="1" w:styleId="478">
    <w:name w:val="rvts9"/>
    <w:basedOn w:val="88"/>
    <w:uiPriority w:val="0"/>
  </w:style>
  <w:style w:type="paragraph" w:customStyle="1" w:styleId="479">
    <w:name w:val="rvps6"/>
    <w:basedOn w:val="1"/>
    <w:qFormat/>
    <w:uiPriority w:val="0"/>
    <w:pPr>
      <w:spacing w:before="100" w:beforeAutospacing="1" w:after="100" w:afterAutospacing="1"/>
    </w:pPr>
  </w:style>
  <w:style w:type="paragraph" w:customStyle="1" w:styleId="480">
    <w:name w:val="rvps1"/>
    <w:basedOn w:val="1"/>
    <w:qFormat/>
    <w:uiPriority w:val="0"/>
    <w:pPr>
      <w:spacing w:before="100" w:beforeAutospacing="1" w:after="100" w:afterAutospacing="1"/>
    </w:pPr>
  </w:style>
  <w:style w:type="character" w:customStyle="1" w:styleId="481">
    <w:name w:val="mw-headline"/>
    <w:basedOn w:val="88"/>
    <w:uiPriority w:val="0"/>
  </w:style>
  <w:style w:type="paragraph" w:customStyle="1" w:styleId="482">
    <w:name w:val="таблица"/>
    <w:basedOn w:val="42"/>
    <w:qFormat/>
    <w:uiPriority w:val="0"/>
    <w:pPr>
      <w:spacing w:before="60" w:after="60"/>
      <w:ind w:left="0" w:firstLine="709"/>
    </w:pPr>
    <w:rPr>
      <w:b w:val="0"/>
      <w:bCs w:val="0"/>
      <w:szCs w:val="20"/>
    </w:rPr>
  </w:style>
  <w:style w:type="paragraph" w:customStyle="1" w:styleId="483">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84">
    <w:name w:val="Стиль1"/>
    <w:basedOn w:val="4"/>
    <w:link w:val="485"/>
    <w:qFormat/>
    <w:uiPriority w:val="0"/>
    <w:pPr>
      <w:keepLines/>
      <w:spacing w:before="200" w:after="0" w:line="276" w:lineRule="auto"/>
      <w:jc w:val="center"/>
    </w:pPr>
    <w:rPr>
      <w:rFonts w:ascii="Times New Roman" w:hAnsi="Times New Roman"/>
      <w:b w:val="0"/>
      <w:bCs w:val="0"/>
      <w:sz w:val="28"/>
      <w:szCs w:val="28"/>
      <w:lang w:eastAsia="en-US"/>
    </w:rPr>
  </w:style>
  <w:style w:type="character" w:customStyle="1" w:styleId="485">
    <w:name w:val="Стиль1 Знак"/>
    <w:link w:val="484"/>
    <w:uiPriority w:val="0"/>
    <w:rPr>
      <w:rFonts w:ascii="Times New Roman" w:hAnsi="Times New Roman" w:eastAsia="Times New Roman" w:cs="Arial"/>
      <w:sz w:val="28"/>
      <w:szCs w:val="28"/>
      <w:lang w:eastAsia="en-US"/>
    </w:rPr>
  </w:style>
  <w:style w:type="paragraph" w:customStyle="1" w:styleId="486">
    <w:name w:val="xl131"/>
    <w:basedOn w:val="1"/>
    <w:qFormat/>
    <w:uiPriority w:val="0"/>
    <w:pPr>
      <w:pBdr>
        <w:left w:val="single" w:color="auto" w:sz="4" w:space="0"/>
        <w:bottom w:val="single" w:color="auto" w:sz="4" w:space="0"/>
        <w:right w:val="single" w:color="auto" w:sz="4" w:space="0"/>
      </w:pBdr>
      <w:spacing w:before="100" w:beforeAutospacing="1" w:after="100" w:afterAutospacing="1"/>
    </w:pPr>
    <w:rPr>
      <w:color w:val="000000"/>
      <w:sz w:val="18"/>
      <w:szCs w:val="18"/>
    </w:rPr>
  </w:style>
  <w:style w:type="paragraph" w:customStyle="1" w:styleId="487">
    <w:name w:val="xl132"/>
    <w:basedOn w:val="1"/>
    <w:qFormat/>
    <w:uiPriority w:val="0"/>
    <w:pPr>
      <w:pBdr>
        <w:top w:val="single" w:color="auto" w:sz="4" w:space="0"/>
        <w:left w:val="single" w:color="auto" w:sz="4" w:space="0"/>
        <w:right w:val="single" w:color="auto" w:sz="4" w:space="0"/>
      </w:pBdr>
      <w:spacing w:before="100" w:beforeAutospacing="1" w:after="100" w:afterAutospacing="1"/>
    </w:pPr>
    <w:rPr>
      <w:color w:val="000000"/>
      <w:sz w:val="18"/>
      <w:szCs w:val="18"/>
    </w:rPr>
  </w:style>
  <w:style w:type="paragraph" w:customStyle="1" w:styleId="488">
    <w:name w:val="xl13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color w:val="000000"/>
      <w:sz w:val="18"/>
      <w:szCs w:val="18"/>
    </w:rPr>
  </w:style>
  <w:style w:type="paragraph" w:customStyle="1" w:styleId="489">
    <w:name w:val="xl134"/>
    <w:basedOn w:val="1"/>
    <w:qFormat/>
    <w:uiPriority w:val="0"/>
    <w:pPr>
      <w:pBdr>
        <w:top w:val="single" w:color="auto" w:sz="4" w:space="0"/>
        <w:bottom w:val="single" w:color="auto" w:sz="4" w:space="0"/>
      </w:pBdr>
      <w:spacing w:before="100" w:beforeAutospacing="1" w:after="100" w:afterAutospacing="1"/>
      <w:jc w:val="center"/>
    </w:pPr>
    <w:rPr>
      <w:b/>
      <w:bCs/>
      <w:color w:val="000000"/>
      <w:sz w:val="18"/>
      <w:szCs w:val="18"/>
    </w:rPr>
  </w:style>
  <w:style w:type="paragraph" w:customStyle="1" w:styleId="490">
    <w:name w:val="xl13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color w:val="000000"/>
      <w:sz w:val="18"/>
      <w:szCs w:val="18"/>
    </w:rPr>
  </w:style>
  <w:style w:type="paragraph" w:customStyle="1" w:styleId="491">
    <w:name w:val="xl136"/>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pPr>
    <w:rPr>
      <w:rFonts w:ascii="Calibri" w:hAnsi="Calibri"/>
      <w:b/>
      <w:bCs/>
      <w:color w:val="000000"/>
      <w:sz w:val="18"/>
      <w:szCs w:val="18"/>
    </w:rPr>
  </w:style>
  <w:style w:type="paragraph" w:customStyle="1" w:styleId="492">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93">
    <w:name w:val="xl6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b/>
      <w:bCs/>
    </w:rPr>
  </w:style>
  <w:style w:type="paragraph" w:customStyle="1" w:styleId="494">
    <w:name w:val="Style29"/>
    <w:basedOn w:val="1"/>
    <w:qFormat/>
    <w:uiPriority w:val="0"/>
    <w:pPr>
      <w:widowControl w:val="0"/>
      <w:autoSpaceDE w:val="0"/>
      <w:autoSpaceDN w:val="0"/>
      <w:adjustRightInd w:val="0"/>
      <w:spacing w:line="323" w:lineRule="exact"/>
      <w:ind w:firstLine="716"/>
      <w:jc w:val="both"/>
    </w:pPr>
  </w:style>
  <w:style w:type="paragraph" w:customStyle="1" w:styleId="495">
    <w:name w:val="无间隔"/>
    <w:qFormat/>
    <w:uiPriority w:val="1"/>
    <w:pPr>
      <w:widowControl w:val="0"/>
      <w:jc w:val="both"/>
    </w:pPr>
    <w:rPr>
      <w:rFonts w:ascii="Times New Roman" w:hAnsi="Times New Roman" w:eastAsia="SimSun" w:cs="Times New Roman"/>
      <w:kern w:val="2"/>
      <w:sz w:val="21"/>
      <w:lang w:val="en-US" w:eastAsia="zh-CN" w:bidi="ar-SA"/>
    </w:rPr>
  </w:style>
  <w:style w:type="paragraph" w:customStyle="1" w:styleId="496">
    <w:name w:val="Îñíîâíîé òåêñò 2"/>
    <w:basedOn w:val="1"/>
    <w:qFormat/>
    <w:uiPriority w:val="0"/>
    <w:pPr>
      <w:suppressAutoHyphens/>
      <w:overflowPunct w:val="0"/>
      <w:autoSpaceDE w:val="0"/>
      <w:autoSpaceDN w:val="0"/>
      <w:adjustRightInd w:val="0"/>
      <w:jc w:val="both"/>
    </w:pPr>
    <w:rPr>
      <w:sz w:val="28"/>
      <w:szCs w:val="20"/>
    </w:rPr>
  </w:style>
  <w:style w:type="character" w:customStyle="1" w:styleId="497">
    <w:name w:val="WW-Absatz-Standardschriftart11"/>
    <w:uiPriority w:val="0"/>
  </w:style>
  <w:style w:type="paragraph" w:customStyle="1" w:styleId="498">
    <w:name w:val="Стиль"/>
    <w:qFormat/>
    <w:uiPriority w:val="0"/>
    <w:pPr>
      <w:widowControl w:val="0"/>
      <w:suppressAutoHyphens/>
      <w:autoSpaceDE w:val="0"/>
    </w:pPr>
    <w:rPr>
      <w:rFonts w:ascii="Arial" w:hAnsi="Arial" w:eastAsia="Times New Roman" w:cs="Arial"/>
      <w:sz w:val="24"/>
      <w:szCs w:val="24"/>
      <w:lang w:val="ru-RU" w:eastAsia="zh-CN" w:bidi="ar-SA"/>
    </w:rPr>
  </w:style>
  <w:style w:type="paragraph" w:customStyle="1" w:styleId="499">
    <w:name w:val="Обычный1"/>
    <w:link w:val="500"/>
    <w:qFormat/>
    <w:uiPriority w:val="0"/>
    <w:rPr>
      <w:rFonts w:ascii="Times New Roman" w:hAnsi="Times New Roman" w:eastAsia="Times New Roman" w:cs="Times New Roman"/>
      <w:sz w:val="22"/>
      <w:lang w:val="ru-RU" w:eastAsia="ru-RU" w:bidi="ar-SA"/>
    </w:rPr>
  </w:style>
  <w:style w:type="character" w:customStyle="1" w:styleId="500">
    <w:name w:val="Normal Знак"/>
    <w:link w:val="499"/>
    <w:uiPriority w:val="0"/>
    <w:rPr>
      <w:rFonts w:ascii="Times New Roman" w:hAnsi="Times New Roman" w:eastAsia="Times New Roman"/>
      <w:sz w:val="22"/>
      <w:lang w:val="ru-RU" w:eastAsia="ru-RU" w:bidi="ar-SA"/>
    </w:rPr>
  </w:style>
  <w:style w:type="paragraph" w:customStyle="1" w:styleId="501">
    <w:name w:val="Основной текст с отступом1"/>
    <w:basedOn w:val="1"/>
    <w:qFormat/>
    <w:uiPriority w:val="0"/>
    <w:pPr>
      <w:spacing w:after="120"/>
      <w:ind w:left="283"/>
    </w:pPr>
  </w:style>
  <w:style w:type="paragraph" w:customStyle="1" w:styleId="502">
    <w:name w:val="2-й уровень"/>
    <w:basedOn w:val="3"/>
    <w:qFormat/>
    <w:uiPriority w:val="0"/>
    <w:pPr>
      <w:pageBreakBefore/>
      <w:suppressAutoHyphens/>
      <w:spacing w:after="120"/>
      <w:ind w:left="539" w:right="612"/>
      <w:jc w:val="center"/>
    </w:pPr>
    <w:rPr>
      <w:i w:val="0"/>
    </w:rPr>
  </w:style>
  <w:style w:type="character" w:customStyle="1" w:styleId="503">
    <w:name w:val="list_docs_title"/>
    <w:basedOn w:val="88"/>
    <w:uiPriority w:val="0"/>
  </w:style>
  <w:style w:type="paragraph" w:customStyle="1" w:styleId="504">
    <w:name w:val="xl137"/>
    <w:basedOn w:val="1"/>
    <w:qFormat/>
    <w:uiPriority w:val="0"/>
    <w:pPr>
      <w:pBdr>
        <w:left w:val="single" w:color="auto" w:sz="4" w:space="0"/>
        <w:right w:val="single" w:color="auto" w:sz="4" w:space="0"/>
      </w:pBdr>
      <w:spacing w:before="100" w:beforeAutospacing="1" w:after="100" w:afterAutospacing="1"/>
      <w:jc w:val="center"/>
      <w:textAlignment w:val="top"/>
    </w:pPr>
    <w:rPr>
      <w:b/>
      <w:bCs/>
    </w:rPr>
  </w:style>
  <w:style w:type="paragraph" w:customStyle="1" w:styleId="505">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506">
    <w:name w:val="xl1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507">
    <w:name w:val="xl1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508">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509">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510">
    <w:name w:val="xl14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rPr>
  </w:style>
  <w:style w:type="paragraph" w:customStyle="1" w:styleId="511">
    <w:name w:val="xl144"/>
    <w:basedOn w:val="1"/>
    <w:qFormat/>
    <w:uiPriority w:val="0"/>
    <w:pPr>
      <w:pBdr>
        <w:top w:val="single" w:color="auto" w:sz="4" w:space="0"/>
        <w:bottom w:val="single" w:color="auto" w:sz="4" w:space="0"/>
      </w:pBdr>
      <w:spacing w:before="100" w:beforeAutospacing="1" w:after="100" w:afterAutospacing="1"/>
      <w:jc w:val="center"/>
    </w:pPr>
    <w:rPr>
      <w:b/>
      <w:bCs/>
    </w:rPr>
  </w:style>
  <w:style w:type="paragraph" w:customStyle="1" w:styleId="512">
    <w:name w:val="xl14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rPr>
  </w:style>
  <w:style w:type="character" w:customStyle="1" w:styleId="513">
    <w:name w:val="Без интервала Знак"/>
    <w:link w:val="469"/>
    <w:locked/>
    <w:uiPriority w:val="1"/>
    <w:rPr>
      <w:rFonts w:eastAsia="Times New Roman"/>
      <w:sz w:val="22"/>
      <w:szCs w:val="22"/>
      <w:lang w:eastAsia="zh-CN" w:bidi="ar-SA"/>
    </w:rPr>
  </w:style>
  <w:style w:type="paragraph" w:customStyle="1" w:styleId="514">
    <w:name w:val="Основной текст с отступом 22"/>
    <w:basedOn w:val="1"/>
    <w:qFormat/>
    <w:uiPriority w:val="0"/>
    <w:pPr>
      <w:spacing w:line="360" w:lineRule="auto"/>
      <w:ind w:firstLine="709"/>
      <w:jc w:val="both"/>
    </w:pPr>
    <w:rPr>
      <w:i/>
      <w:iCs/>
      <w:color w:val="FF0000"/>
      <w:lang w:eastAsia="ar-SA"/>
    </w:rPr>
  </w:style>
  <w:style w:type="paragraph" w:customStyle="1" w:styleId="515">
    <w:name w:val="zagl-0"/>
    <w:basedOn w:val="1"/>
    <w:qFormat/>
    <w:uiPriority w:val="0"/>
    <w:pPr>
      <w:spacing w:before="100" w:beforeAutospacing="1" w:after="100" w:afterAutospacing="1"/>
    </w:pPr>
  </w:style>
  <w:style w:type="character" w:customStyle="1" w:styleId="516">
    <w:name w:val="skype_pnh_container"/>
    <w:basedOn w:val="88"/>
    <w:uiPriority w:val="0"/>
  </w:style>
  <w:style w:type="character" w:customStyle="1" w:styleId="517">
    <w:name w:val="skype_pnh_text_span"/>
    <w:basedOn w:val="88"/>
    <w:uiPriority w:val="0"/>
  </w:style>
  <w:style w:type="paragraph" w:customStyle="1" w:styleId="518">
    <w:name w:val="Основной Текст"/>
    <w:basedOn w:val="1"/>
    <w:qFormat/>
    <w:uiPriority w:val="0"/>
    <w:pPr>
      <w:autoSpaceDE w:val="0"/>
      <w:autoSpaceDN w:val="0"/>
      <w:spacing w:before="120"/>
      <w:ind w:firstLine="709"/>
      <w:jc w:val="both"/>
    </w:pPr>
    <w:rPr>
      <w:sz w:val="28"/>
      <w:szCs w:val="20"/>
    </w:rPr>
  </w:style>
  <w:style w:type="paragraph" w:customStyle="1" w:styleId="519">
    <w:name w:val="Основной текст с отступом 23"/>
    <w:basedOn w:val="1"/>
    <w:qFormat/>
    <w:uiPriority w:val="0"/>
    <w:pPr>
      <w:spacing w:line="360" w:lineRule="auto"/>
      <w:ind w:firstLine="720"/>
      <w:jc w:val="both"/>
    </w:pPr>
    <w:rPr>
      <w:sz w:val="26"/>
      <w:szCs w:val="20"/>
    </w:rPr>
  </w:style>
  <w:style w:type="paragraph" w:customStyle="1" w:styleId="520">
    <w:name w:val="Pro-List -1"/>
    <w:basedOn w:val="1"/>
    <w:qFormat/>
    <w:uiPriority w:val="0"/>
    <w:pPr>
      <w:numPr>
        <w:ilvl w:val="2"/>
        <w:numId w:val="8"/>
      </w:numPr>
      <w:tabs>
        <w:tab w:val="left" w:pos="1920"/>
      </w:tabs>
      <w:spacing w:before="60" w:after="120" w:line="288" w:lineRule="auto"/>
      <w:contextualSpacing/>
      <w:jc w:val="both"/>
    </w:pPr>
    <w:rPr>
      <w:rFonts w:ascii="Georgia" w:hAnsi="Georgia"/>
      <w:sz w:val="20"/>
    </w:rPr>
  </w:style>
  <w:style w:type="paragraph" w:customStyle="1" w:styleId="521">
    <w:name w:val="Основной текст 23"/>
    <w:basedOn w:val="1"/>
    <w:qFormat/>
    <w:uiPriority w:val="0"/>
    <w:pPr>
      <w:keepNext/>
      <w:keepLines/>
      <w:suppressAutoHyphens/>
      <w:spacing w:line="360" w:lineRule="auto"/>
      <w:ind w:firstLine="567"/>
      <w:jc w:val="center"/>
    </w:pPr>
    <w:rPr>
      <w:b/>
      <w:sz w:val="28"/>
      <w:szCs w:val="20"/>
      <w:lang w:eastAsia="ar-SA"/>
    </w:rPr>
  </w:style>
  <w:style w:type="paragraph" w:customStyle="1" w:styleId="522">
    <w:name w:val="zagc-2"/>
    <w:basedOn w:val="1"/>
    <w:qFormat/>
    <w:uiPriority w:val="0"/>
    <w:pPr>
      <w:spacing w:before="90" w:after="75"/>
      <w:ind w:firstLine="150"/>
      <w:jc w:val="center"/>
    </w:pPr>
    <w:rPr>
      <w:rFonts w:ascii="Arial" w:hAnsi="Arial" w:cs="Arial"/>
      <w:b/>
      <w:bCs/>
      <w:color w:val="29211E"/>
      <w:sz w:val="18"/>
      <w:szCs w:val="18"/>
    </w:rPr>
  </w:style>
  <w:style w:type="paragraph" w:customStyle="1" w:styleId="523">
    <w:name w:val="western"/>
    <w:basedOn w:val="1"/>
    <w:qFormat/>
    <w:uiPriority w:val="0"/>
    <w:pPr>
      <w:widowControl w:val="0"/>
      <w:suppressAutoHyphens/>
      <w:spacing w:before="280" w:after="280"/>
      <w:jc w:val="both"/>
    </w:pPr>
    <w:rPr>
      <w:rFonts w:eastAsia="Arial Unicode MS" w:cs="Tahoma"/>
      <w:color w:val="000000"/>
      <w:sz w:val="28"/>
      <w:szCs w:val="28"/>
      <w:lang w:val="en-US" w:eastAsia="en-US" w:bidi="en-US"/>
    </w:rPr>
  </w:style>
  <w:style w:type="paragraph" w:customStyle="1" w:styleId="524">
    <w:name w:val="Char Знак Знак Char Знак Знак Знак Знак Знак Знак Знак Знак Знак Знак Знак Знак Знак Знак Знак Знак"/>
    <w:basedOn w:val="1"/>
    <w:qFormat/>
    <w:uiPriority w:val="0"/>
    <w:rPr>
      <w:rFonts w:ascii="Verdana" w:hAnsi="Verdana" w:cs="Verdana"/>
      <w:sz w:val="20"/>
      <w:szCs w:val="20"/>
      <w:lang w:val="en-US" w:eastAsia="en-US"/>
    </w:rPr>
  </w:style>
  <w:style w:type="character" w:customStyle="1" w:styleId="525">
    <w:name w:val="Цветовое выделение"/>
    <w:uiPriority w:val="0"/>
    <w:rPr>
      <w:b/>
      <w:color w:val="000080"/>
    </w:rPr>
  </w:style>
  <w:style w:type="paragraph" w:customStyle="1" w:styleId="526">
    <w:name w:val="Знак Знак1 Знак Знак Знак Знак Знак Знак Знак Знак"/>
    <w:basedOn w:val="1"/>
    <w:qFormat/>
    <w:uiPriority w:val="0"/>
    <w:rPr>
      <w:rFonts w:ascii="Verdana" w:hAnsi="Verdana" w:cs="Verdana"/>
      <w:sz w:val="20"/>
      <w:szCs w:val="20"/>
      <w:lang w:val="en-US" w:eastAsia="en-US"/>
    </w:rPr>
  </w:style>
  <w:style w:type="paragraph" w:customStyle="1" w:styleId="527">
    <w:name w:val="Прижатый влево"/>
    <w:basedOn w:val="1"/>
    <w:next w:val="1"/>
    <w:qFormat/>
    <w:uiPriority w:val="99"/>
    <w:pPr>
      <w:widowControl w:val="0"/>
      <w:autoSpaceDE w:val="0"/>
      <w:autoSpaceDN w:val="0"/>
      <w:adjustRightInd w:val="0"/>
    </w:pPr>
    <w:rPr>
      <w:rFonts w:ascii="Arial" w:hAnsi="Arial" w:cs="Arial"/>
    </w:rPr>
  </w:style>
  <w:style w:type="paragraph" w:customStyle="1" w:styleId="528">
    <w:name w:val="xl146"/>
    <w:basedOn w:val="1"/>
    <w:qFormat/>
    <w:uiPriority w:val="0"/>
    <w:pPr>
      <w:pBdr>
        <w:left w:val="single" w:color="auto" w:sz="4" w:space="0"/>
        <w:right w:val="single" w:color="auto" w:sz="4" w:space="0"/>
      </w:pBdr>
      <w:spacing w:before="100" w:beforeAutospacing="1" w:after="100" w:afterAutospacing="1"/>
      <w:textAlignment w:val="center"/>
    </w:pPr>
  </w:style>
  <w:style w:type="paragraph" w:customStyle="1" w:styleId="529">
    <w:name w:val="Заголовок 3.1."/>
    <w:basedOn w:val="1"/>
    <w:qFormat/>
    <w:uiPriority w:val="0"/>
    <w:pPr>
      <w:widowControl w:val="0"/>
      <w:ind w:left="1418"/>
      <w:jc w:val="both"/>
    </w:pPr>
    <w:rPr>
      <w:b/>
      <w:i/>
      <w:szCs w:val="20"/>
    </w:rPr>
  </w:style>
  <w:style w:type="paragraph" w:customStyle="1" w:styleId="530">
    <w:name w:val="Маркированный список 1"/>
    <w:basedOn w:val="1"/>
    <w:qFormat/>
    <w:uiPriority w:val="0"/>
    <w:pPr>
      <w:numPr>
        <w:ilvl w:val="0"/>
        <w:numId w:val="9"/>
      </w:numPr>
      <w:jc w:val="both"/>
    </w:pPr>
    <w:rPr>
      <w:szCs w:val="20"/>
      <w:lang w:eastAsia="ar-SA"/>
    </w:rPr>
  </w:style>
  <w:style w:type="paragraph" w:customStyle="1" w:styleId="531">
    <w:name w:val="Style11"/>
    <w:basedOn w:val="1"/>
    <w:qFormat/>
    <w:uiPriority w:val="99"/>
    <w:pPr>
      <w:widowControl w:val="0"/>
      <w:autoSpaceDE w:val="0"/>
      <w:autoSpaceDN w:val="0"/>
      <w:adjustRightInd w:val="0"/>
      <w:spacing w:line="320" w:lineRule="exact"/>
      <w:ind w:firstLine="554"/>
      <w:jc w:val="both"/>
    </w:pPr>
  </w:style>
  <w:style w:type="character" w:customStyle="1" w:styleId="532">
    <w:name w:val="Font Style20"/>
    <w:uiPriority w:val="0"/>
    <w:rPr>
      <w:rFonts w:ascii="Times New Roman" w:hAnsi="Times New Roman" w:cs="Times New Roman"/>
      <w:sz w:val="26"/>
      <w:szCs w:val="26"/>
    </w:rPr>
  </w:style>
  <w:style w:type="paragraph" w:customStyle="1" w:styleId="533">
    <w:name w:val="ОСНОВНОЙ"/>
    <w:basedOn w:val="1"/>
    <w:link w:val="534"/>
    <w:qFormat/>
    <w:uiPriority w:val="0"/>
    <w:pPr>
      <w:spacing w:after="60"/>
      <w:ind w:firstLine="567"/>
      <w:jc w:val="both"/>
    </w:pPr>
    <w:rPr>
      <w:color w:val="000000"/>
      <w:sz w:val="22"/>
      <w:szCs w:val="22"/>
    </w:rPr>
  </w:style>
  <w:style w:type="character" w:customStyle="1" w:styleId="534">
    <w:name w:val="ОСНОВНОЙ Знак"/>
    <w:link w:val="533"/>
    <w:uiPriority w:val="0"/>
    <w:rPr>
      <w:rFonts w:ascii="Times New Roman" w:hAnsi="Times New Roman" w:eastAsia="Times New Roman"/>
      <w:color w:val="000000"/>
      <w:sz w:val="22"/>
      <w:szCs w:val="22"/>
    </w:rPr>
  </w:style>
  <w:style w:type="paragraph" w:customStyle="1" w:styleId="535">
    <w:name w:val="Перечень 1"/>
    <w:basedOn w:val="154"/>
    <w:link w:val="536"/>
    <w:qFormat/>
    <w:uiPriority w:val="0"/>
    <w:pPr>
      <w:numPr>
        <w:ilvl w:val="0"/>
        <w:numId w:val="10"/>
      </w:numPr>
      <w:spacing w:after="60"/>
      <w:ind w:left="1134" w:hanging="283"/>
      <w:jc w:val="both"/>
    </w:pPr>
    <w:rPr>
      <w:sz w:val="22"/>
      <w:szCs w:val="22"/>
    </w:rPr>
  </w:style>
  <w:style w:type="character" w:customStyle="1" w:styleId="536">
    <w:name w:val="Перечень 1 Знак"/>
    <w:link w:val="535"/>
    <w:uiPriority w:val="0"/>
    <w:rPr>
      <w:rFonts w:ascii="Times New Roman" w:hAnsi="Times New Roman" w:eastAsia="Times New Roman"/>
      <w:sz w:val="22"/>
      <w:szCs w:val="22"/>
    </w:rPr>
  </w:style>
  <w:style w:type="character" w:customStyle="1" w:styleId="537">
    <w:name w:val="Заголовок таблицы Знак"/>
    <w:link w:val="293"/>
    <w:uiPriority w:val="0"/>
    <w:rPr>
      <w:rFonts w:ascii="Times New Roman" w:hAnsi="Times New Roman" w:eastAsia="Times New Roman"/>
      <w:b/>
      <w:bCs/>
      <w:sz w:val="24"/>
      <w:szCs w:val="24"/>
      <w:lang w:eastAsia="ar-SA"/>
    </w:rPr>
  </w:style>
  <w:style w:type="character" w:customStyle="1" w:styleId="538">
    <w:name w:val="Default Знак"/>
    <w:link w:val="168"/>
    <w:uiPriority w:val="0"/>
    <w:rPr>
      <w:rFonts w:ascii="Times New Roman" w:hAnsi="Times New Roman"/>
      <w:color w:val="000000"/>
      <w:sz w:val="24"/>
      <w:szCs w:val="24"/>
      <w:lang w:val="ru-RU" w:eastAsia="en-US" w:bidi="ar-SA"/>
    </w:rPr>
  </w:style>
  <w:style w:type="character" w:customStyle="1" w:styleId="539">
    <w:name w:val="Основной текст_"/>
    <w:link w:val="540"/>
    <w:uiPriority w:val="0"/>
    <w:rPr>
      <w:rFonts w:ascii="Times New Roman" w:hAnsi="Times New Roman" w:eastAsia="Times New Roman"/>
      <w:sz w:val="26"/>
      <w:szCs w:val="26"/>
      <w:shd w:val="clear" w:color="auto" w:fill="FFFFFF"/>
    </w:rPr>
  </w:style>
  <w:style w:type="paragraph" w:customStyle="1" w:styleId="540">
    <w:name w:val="Основной текст1"/>
    <w:basedOn w:val="1"/>
    <w:link w:val="539"/>
    <w:qFormat/>
    <w:uiPriority w:val="0"/>
    <w:pPr>
      <w:shd w:val="clear" w:color="auto" w:fill="FFFFFF"/>
      <w:spacing w:line="322" w:lineRule="exact"/>
      <w:jc w:val="center"/>
    </w:pPr>
    <w:rPr>
      <w:sz w:val="26"/>
      <w:szCs w:val="26"/>
    </w:rPr>
  </w:style>
  <w:style w:type="paragraph" w:customStyle="1" w:styleId="541">
    <w:name w:val="Текст интервал полтора"/>
    <w:basedOn w:val="1"/>
    <w:link w:val="542"/>
    <w:qFormat/>
    <w:uiPriority w:val="0"/>
    <w:pPr>
      <w:spacing w:line="360" w:lineRule="auto"/>
      <w:ind w:firstLine="567"/>
      <w:jc w:val="both"/>
    </w:pPr>
    <w:rPr>
      <w:sz w:val="28"/>
      <w:szCs w:val="28"/>
    </w:rPr>
  </w:style>
  <w:style w:type="character" w:customStyle="1" w:styleId="542">
    <w:name w:val="Текст интервал полтора Знак"/>
    <w:link w:val="541"/>
    <w:uiPriority w:val="0"/>
    <w:rPr>
      <w:rFonts w:ascii="Times New Roman" w:hAnsi="Times New Roman" w:eastAsia="Times New Roman"/>
      <w:sz w:val="28"/>
      <w:szCs w:val="28"/>
    </w:rPr>
  </w:style>
  <w:style w:type="paragraph" w:customStyle="1" w:styleId="543">
    <w:name w:val="Revision"/>
    <w:hidden/>
    <w:semiHidden/>
    <w:uiPriority w:val="99"/>
    <w:rPr>
      <w:rFonts w:ascii="Times New Roman" w:hAnsi="Times New Roman" w:eastAsia="Times New Roman" w:cs="Times New Roman"/>
      <w:sz w:val="24"/>
      <w:szCs w:val="24"/>
      <w:lang w:val="ru-RU" w:eastAsia="ru-RU" w:bidi="ar-SA"/>
    </w:rPr>
  </w:style>
  <w:style w:type="character" w:customStyle="1" w:styleId="544">
    <w:name w:val="Абзац списка Знак"/>
    <w:link w:val="154"/>
    <w:uiPriority w:val="34"/>
    <w:rPr>
      <w:rFonts w:ascii="Times New Roman" w:hAnsi="Times New Roman" w:eastAsia="Times New Roman"/>
      <w:sz w:val="24"/>
      <w:szCs w:val="24"/>
    </w:rPr>
  </w:style>
  <w:style w:type="table" w:customStyle="1" w:styleId="545">
    <w:name w:val="Сетка таблицы1"/>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46">
    <w:name w:val="WW-???????? ????? 2"/>
    <w:basedOn w:val="1"/>
    <w:qFormat/>
    <w:uiPriority w:val="0"/>
    <w:pPr>
      <w:suppressAutoHyphens/>
      <w:overflowPunct w:val="0"/>
      <w:autoSpaceDE w:val="0"/>
      <w:spacing w:after="120" w:line="480" w:lineRule="auto"/>
      <w:textAlignment w:val="baseline"/>
    </w:pPr>
    <w:rPr>
      <w:sz w:val="20"/>
      <w:szCs w:val="20"/>
      <w:lang w:eastAsia="ar-SA"/>
    </w:rPr>
  </w:style>
  <w:style w:type="table" w:customStyle="1" w:styleId="547">
    <w:name w:val="Сетка таблицы2"/>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48">
    <w:name w:val="Сетка таблицы11"/>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49">
    <w:name w:val="Сетка таблицы3"/>
    <w:basedOn w:val="100"/>
    <w:uiPriority w:val="5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0">
    <w:name w:val="Font Style33"/>
    <w:semiHidden/>
    <w:uiPriority w:val="0"/>
    <w:rPr>
      <w:rFonts w:ascii="Times New Roman" w:hAnsi="Times New Roman" w:cs="Times New Roman"/>
      <w:sz w:val="24"/>
      <w:szCs w:val="24"/>
    </w:rPr>
  </w:style>
  <w:style w:type="paragraph" w:customStyle="1" w:styleId="551">
    <w:name w:val="S_Обычный в таблице"/>
    <w:basedOn w:val="1"/>
    <w:link w:val="552"/>
    <w:qFormat/>
    <w:uiPriority w:val="0"/>
    <w:pPr>
      <w:spacing w:line="360" w:lineRule="auto"/>
      <w:jc w:val="center"/>
    </w:pPr>
  </w:style>
  <w:style w:type="character" w:customStyle="1" w:styleId="552">
    <w:name w:val="S_Обычный в таблице Знак"/>
    <w:link w:val="551"/>
    <w:uiPriority w:val="0"/>
    <w:rPr>
      <w:rFonts w:ascii="Times New Roman" w:hAnsi="Times New Roman" w:eastAsia="Times New Roman"/>
      <w:sz w:val="24"/>
      <w:szCs w:val="24"/>
    </w:rPr>
  </w:style>
  <w:style w:type="paragraph" w:customStyle="1" w:styleId="553">
    <w:name w:val="У3"/>
    <w:basedOn w:val="4"/>
    <w:link w:val="554"/>
    <w:qFormat/>
    <w:uiPriority w:val="0"/>
    <w:pPr>
      <w:spacing w:before="120" w:after="120"/>
      <w:ind w:left="709"/>
    </w:pPr>
    <w:rPr>
      <w:rFonts w:ascii="Cambria" w:hAnsi="Cambria"/>
      <w:sz w:val="28"/>
      <w:szCs w:val="28"/>
    </w:rPr>
  </w:style>
  <w:style w:type="character" w:customStyle="1" w:styleId="554">
    <w:name w:val="У3 Знак"/>
    <w:link w:val="553"/>
    <w:uiPriority w:val="0"/>
    <w:rPr>
      <w:rFonts w:ascii="Cambria" w:hAnsi="Cambria" w:eastAsia="Times New Roman"/>
      <w:b/>
      <w:bCs/>
      <w:sz w:val="28"/>
      <w:szCs w:val="28"/>
    </w:rPr>
  </w:style>
  <w:style w:type="character" w:customStyle="1" w:styleId="555">
    <w:name w:val="Font Style11"/>
    <w:uiPriority w:val="99"/>
    <w:rPr>
      <w:rFonts w:ascii="Times New Roman" w:hAnsi="Times New Roman" w:cs="Times New Roman"/>
      <w:sz w:val="26"/>
      <w:szCs w:val="26"/>
    </w:rPr>
  </w:style>
  <w:style w:type="character" w:customStyle="1" w:styleId="556">
    <w:name w:val="Прощание Знак"/>
    <w:link w:val="16"/>
    <w:uiPriority w:val="0"/>
    <w:rPr>
      <w:rFonts w:ascii="Times New Roman" w:hAnsi="Times New Roman" w:eastAsia="Times New Roman"/>
      <w:lang w:eastAsia="en-US"/>
    </w:rPr>
  </w:style>
  <w:style w:type="paragraph" w:customStyle="1" w:styleId="557">
    <w:name w:val="Абзац списка1"/>
    <w:basedOn w:val="1"/>
    <w:link w:val="925"/>
    <w:qFormat/>
    <w:uiPriority w:val="0"/>
    <w:pPr>
      <w:suppressAutoHyphens/>
      <w:ind w:left="720"/>
    </w:pPr>
    <w:rPr>
      <w:rFonts w:ascii="Calibri" w:hAnsi="Calibri"/>
      <w:lang w:val="en-US" w:eastAsia="ar-SA"/>
    </w:rPr>
  </w:style>
  <w:style w:type="paragraph" w:customStyle="1" w:styleId="558">
    <w:name w:val="Содержание - 1"/>
    <w:basedOn w:val="1"/>
    <w:qFormat/>
    <w:uiPriority w:val="0"/>
    <w:pPr>
      <w:numPr>
        <w:ilvl w:val="0"/>
        <w:numId w:val="11"/>
      </w:numPr>
      <w:spacing w:before="60" w:after="60" w:line="276" w:lineRule="auto"/>
      <w:outlineLvl w:val="1"/>
    </w:pPr>
    <w:rPr>
      <w:rFonts w:ascii="Cambria" w:hAnsi="Cambria"/>
      <w:b/>
      <w:caps/>
      <w:sz w:val="28"/>
      <w:szCs w:val="28"/>
      <w:lang w:val="en-US" w:eastAsia="en-US" w:bidi="en-US"/>
    </w:rPr>
  </w:style>
  <w:style w:type="paragraph" w:customStyle="1" w:styleId="559">
    <w:name w:val="Содержание - 2"/>
    <w:basedOn w:val="1"/>
    <w:qFormat/>
    <w:uiPriority w:val="0"/>
    <w:pPr>
      <w:numPr>
        <w:ilvl w:val="1"/>
        <w:numId w:val="11"/>
      </w:numPr>
      <w:spacing w:before="60" w:after="60" w:line="276" w:lineRule="auto"/>
      <w:outlineLvl w:val="1"/>
    </w:pPr>
    <w:rPr>
      <w:rFonts w:ascii="Cambria" w:hAnsi="Cambria"/>
      <w:sz w:val="28"/>
      <w:szCs w:val="28"/>
      <w:lang w:val="en-US" w:eastAsia="en-US" w:bidi="en-US"/>
    </w:rPr>
  </w:style>
  <w:style w:type="paragraph" w:customStyle="1" w:styleId="560">
    <w:name w:val="Содержание - 3"/>
    <w:basedOn w:val="1"/>
    <w:qFormat/>
    <w:uiPriority w:val="0"/>
    <w:pPr>
      <w:numPr>
        <w:ilvl w:val="2"/>
        <w:numId w:val="11"/>
      </w:numPr>
      <w:spacing w:before="60" w:after="60" w:line="276" w:lineRule="auto"/>
      <w:outlineLvl w:val="1"/>
    </w:pPr>
    <w:rPr>
      <w:rFonts w:ascii="Cambria" w:hAnsi="Cambria"/>
      <w:sz w:val="28"/>
      <w:szCs w:val="28"/>
      <w:lang w:val="en-US" w:eastAsia="en-US" w:bidi="en-US"/>
    </w:rPr>
  </w:style>
  <w:style w:type="paragraph" w:customStyle="1" w:styleId="561">
    <w:name w:val="Нормальный (таблица)"/>
    <w:basedOn w:val="1"/>
    <w:next w:val="1"/>
    <w:qFormat/>
    <w:uiPriority w:val="0"/>
    <w:pPr>
      <w:widowControl w:val="0"/>
      <w:autoSpaceDE w:val="0"/>
      <w:autoSpaceDN w:val="0"/>
      <w:adjustRightInd w:val="0"/>
      <w:jc w:val="both"/>
    </w:pPr>
    <w:rPr>
      <w:rFonts w:ascii="Arial" w:hAnsi="Arial"/>
    </w:rPr>
  </w:style>
  <w:style w:type="character" w:customStyle="1" w:styleId="562">
    <w:name w:val="Font Style197"/>
    <w:uiPriority w:val="99"/>
    <w:rPr>
      <w:rFonts w:ascii="Times New Roman" w:hAnsi="Times New Roman" w:cs="Times New Roman"/>
      <w:sz w:val="22"/>
      <w:szCs w:val="22"/>
    </w:rPr>
  </w:style>
  <w:style w:type="character" w:customStyle="1" w:styleId="563">
    <w:name w:val="Font Style198"/>
    <w:uiPriority w:val="99"/>
    <w:rPr>
      <w:rFonts w:ascii="Times New Roman" w:hAnsi="Times New Roman" w:cs="Times New Roman"/>
      <w:b/>
      <w:bCs/>
      <w:sz w:val="22"/>
      <w:szCs w:val="22"/>
    </w:rPr>
  </w:style>
  <w:style w:type="paragraph" w:customStyle="1" w:styleId="564">
    <w:name w:val="Style78"/>
    <w:basedOn w:val="1"/>
    <w:qFormat/>
    <w:uiPriority w:val="99"/>
    <w:pPr>
      <w:widowControl w:val="0"/>
      <w:autoSpaceDE w:val="0"/>
      <w:autoSpaceDN w:val="0"/>
      <w:adjustRightInd w:val="0"/>
      <w:jc w:val="both"/>
    </w:pPr>
    <w:rPr>
      <w:rFonts w:ascii="Candara" w:hAnsi="Candara"/>
    </w:rPr>
  </w:style>
  <w:style w:type="paragraph" w:customStyle="1" w:styleId="565">
    <w:name w:val="Style58"/>
    <w:basedOn w:val="1"/>
    <w:qFormat/>
    <w:uiPriority w:val="99"/>
    <w:pPr>
      <w:widowControl w:val="0"/>
      <w:autoSpaceDE w:val="0"/>
      <w:autoSpaceDN w:val="0"/>
      <w:adjustRightInd w:val="0"/>
      <w:spacing w:line="274" w:lineRule="exact"/>
      <w:ind w:firstLine="710"/>
      <w:jc w:val="both"/>
    </w:pPr>
    <w:rPr>
      <w:rFonts w:ascii="Candara" w:hAnsi="Candara"/>
    </w:rPr>
  </w:style>
  <w:style w:type="paragraph" w:customStyle="1" w:styleId="566">
    <w:name w:val="Стиль 14 пт По ширине"/>
    <w:basedOn w:val="1"/>
    <w:qFormat/>
    <w:uiPriority w:val="0"/>
    <w:pPr>
      <w:jc w:val="both"/>
    </w:pPr>
    <w:rPr>
      <w:sz w:val="28"/>
      <w:szCs w:val="20"/>
    </w:rPr>
  </w:style>
  <w:style w:type="character" w:customStyle="1" w:styleId="567">
    <w:name w:val="Absatz-Standardschriftart"/>
    <w:uiPriority w:val="0"/>
  </w:style>
  <w:style w:type="character" w:customStyle="1" w:styleId="568">
    <w:name w:val="WW8Num3z1"/>
    <w:uiPriority w:val="0"/>
    <w:rPr>
      <w:rFonts w:ascii="Courier New" w:hAnsi="Courier New"/>
    </w:rPr>
  </w:style>
  <w:style w:type="character" w:customStyle="1" w:styleId="569">
    <w:name w:val="Маркеры списка"/>
    <w:uiPriority w:val="0"/>
    <w:rPr>
      <w:rFonts w:ascii="OpenSymbol" w:hAnsi="OpenSymbol" w:eastAsia="OpenSymbol" w:cs="OpenSymbol"/>
    </w:rPr>
  </w:style>
  <w:style w:type="paragraph" w:customStyle="1" w:styleId="570">
    <w:name w:val="Заключение"/>
    <w:basedOn w:val="1"/>
    <w:qFormat/>
    <w:uiPriority w:val="0"/>
    <w:pPr>
      <w:suppressAutoHyphens/>
      <w:spacing w:line="220" w:lineRule="atLeast"/>
      <w:ind w:left="835"/>
    </w:pPr>
    <w:rPr>
      <w:rFonts w:ascii="Calibri" w:hAnsi="Calibri"/>
      <w:sz w:val="20"/>
      <w:szCs w:val="20"/>
      <w:lang w:val="en-US" w:eastAsia="ar-SA"/>
    </w:rPr>
  </w:style>
  <w:style w:type="paragraph" w:customStyle="1" w:styleId="571">
    <w:name w:val="Абзац списка2"/>
    <w:basedOn w:val="1"/>
    <w:qFormat/>
    <w:uiPriority w:val="0"/>
    <w:pPr>
      <w:suppressAutoHyphens/>
      <w:ind w:left="720"/>
    </w:pPr>
    <w:rPr>
      <w:rFonts w:ascii="Calibri" w:hAnsi="Calibri"/>
      <w:lang w:val="en-US" w:eastAsia="ar-SA"/>
    </w:rPr>
  </w:style>
  <w:style w:type="paragraph" w:customStyle="1" w:styleId="572">
    <w:name w:val="Абзац списка3"/>
    <w:basedOn w:val="1"/>
    <w:qFormat/>
    <w:uiPriority w:val="0"/>
    <w:pPr>
      <w:suppressAutoHyphens/>
      <w:ind w:left="720"/>
    </w:pPr>
    <w:rPr>
      <w:rFonts w:ascii="Calibri" w:hAnsi="Calibri"/>
      <w:lang w:val="en-US" w:eastAsia="ar-SA"/>
    </w:rPr>
  </w:style>
  <w:style w:type="table" w:customStyle="1" w:styleId="573">
    <w:name w:val="Сетка таблицы111"/>
    <w:basedOn w:val="100"/>
    <w:uiPriority w:val="5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74">
    <w:name w:val="Цитата1"/>
    <w:basedOn w:val="1"/>
    <w:qFormat/>
    <w:uiPriority w:val="0"/>
    <w:pPr>
      <w:suppressAutoHyphens/>
      <w:ind w:left="284" w:right="-1" w:firstLine="567"/>
      <w:jc w:val="both"/>
    </w:pPr>
    <w:rPr>
      <w:szCs w:val="20"/>
      <w:lang w:eastAsia="ar-SA"/>
    </w:rPr>
  </w:style>
  <w:style w:type="character" w:customStyle="1" w:styleId="575">
    <w:name w:val="Гипертекстовая ссылка"/>
    <w:uiPriority w:val="99"/>
    <w:rPr>
      <w:b/>
      <w:bCs/>
      <w:color w:val="008000"/>
    </w:rPr>
  </w:style>
  <w:style w:type="character" w:customStyle="1" w:styleId="576">
    <w:name w:val="Активная гипертекстовая ссылка"/>
    <w:uiPriority w:val="99"/>
    <w:rPr>
      <w:b/>
      <w:bCs/>
      <w:color w:val="008000"/>
      <w:u w:val="single"/>
    </w:rPr>
  </w:style>
  <w:style w:type="paragraph" w:customStyle="1" w:styleId="577">
    <w:name w:val="Внимание: Криминал!!"/>
    <w:basedOn w:val="1"/>
    <w:next w:val="1"/>
    <w:qFormat/>
    <w:uiPriority w:val="99"/>
    <w:pPr>
      <w:widowControl w:val="0"/>
      <w:autoSpaceDE w:val="0"/>
      <w:autoSpaceDN w:val="0"/>
      <w:adjustRightInd w:val="0"/>
      <w:jc w:val="both"/>
    </w:pPr>
    <w:rPr>
      <w:rFonts w:ascii="Arial" w:hAnsi="Arial" w:cs="Arial"/>
    </w:rPr>
  </w:style>
  <w:style w:type="paragraph" w:customStyle="1" w:styleId="578">
    <w:name w:val="Внимание: недобросовестность!"/>
    <w:basedOn w:val="1"/>
    <w:next w:val="1"/>
    <w:qFormat/>
    <w:uiPriority w:val="99"/>
    <w:pPr>
      <w:widowControl w:val="0"/>
      <w:autoSpaceDE w:val="0"/>
      <w:autoSpaceDN w:val="0"/>
      <w:adjustRightInd w:val="0"/>
      <w:jc w:val="both"/>
    </w:pPr>
    <w:rPr>
      <w:rFonts w:ascii="Arial" w:hAnsi="Arial" w:cs="Arial"/>
    </w:rPr>
  </w:style>
  <w:style w:type="paragraph" w:customStyle="1" w:styleId="579">
    <w:name w:val="Основное меню (преемственное)"/>
    <w:basedOn w:val="1"/>
    <w:next w:val="1"/>
    <w:qFormat/>
    <w:uiPriority w:val="99"/>
    <w:pPr>
      <w:widowControl w:val="0"/>
      <w:autoSpaceDE w:val="0"/>
      <w:autoSpaceDN w:val="0"/>
      <w:adjustRightInd w:val="0"/>
      <w:jc w:val="both"/>
    </w:pPr>
    <w:rPr>
      <w:rFonts w:ascii="Verdana" w:hAnsi="Verdana" w:cs="Verdana"/>
    </w:rPr>
  </w:style>
  <w:style w:type="character" w:customStyle="1" w:styleId="580">
    <w:name w:val="Заголовок своего сообщения"/>
    <w:uiPriority w:val="99"/>
  </w:style>
  <w:style w:type="character" w:customStyle="1" w:styleId="581">
    <w:name w:val="Заголовок чужого сообщения"/>
    <w:uiPriority w:val="99"/>
    <w:rPr>
      <w:b/>
      <w:bCs/>
      <w:color w:val="FF0000"/>
    </w:rPr>
  </w:style>
  <w:style w:type="paragraph" w:customStyle="1" w:styleId="582">
    <w:name w:val="Интерактивный заголовок"/>
    <w:basedOn w:val="134"/>
    <w:next w:val="1"/>
    <w:qFormat/>
    <w:uiPriority w:val="99"/>
    <w:pPr>
      <w:keepNext w:val="0"/>
      <w:widowControl w:val="0"/>
      <w:suppressAutoHyphens w:val="0"/>
      <w:autoSpaceDE w:val="0"/>
      <w:autoSpaceDN w:val="0"/>
      <w:adjustRightInd w:val="0"/>
      <w:spacing w:before="0" w:after="0"/>
      <w:ind w:firstLine="0"/>
    </w:pPr>
    <w:rPr>
      <w:rFonts w:ascii="Arial" w:hAnsi="Arial" w:eastAsia="Times New Roman" w:cs="Arial"/>
      <w:sz w:val="24"/>
      <w:szCs w:val="24"/>
      <w:u w:val="single"/>
      <w:lang w:eastAsia="ru-RU"/>
    </w:rPr>
  </w:style>
  <w:style w:type="paragraph" w:customStyle="1" w:styleId="583">
    <w:name w:val="Интерфейс"/>
    <w:basedOn w:val="1"/>
    <w:next w:val="1"/>
    <w:qFormat/>
    <w:uiPriority w:val="99"/>
    <w:pPr>
      <w:widowControl w:val="0"/>
      <w:autoSpaceDE w:val="0"/>
      <w:autoSpaceDN w:val="0"/>
      <w:adjustRightInd w:val="0"/>
      <w:jc w:val="both"/>
    </w:pPr>
    <w:rPr>
      <w:rFonts w:ascii="Arial" w:hAnsi="Arial" w:cs="Arial"/>
      <w:color w:val="F0F0F0"/>
      <w:sz w:val="22"/>
      <w:szCs w:val="22"/>
    </w:rPr>
  </w:style>
  <w:style w:type="paragraph" w:customStyle="1" w:styleId="584">
    <w:name w:val="Комментарий"/>
    <w:basedOn w:val="1"/>
    <w:next w:val="1"/>
    <w:qFormat/>
    <w:uiPriority w:val="99"/>
    <w:pPr>
      <w:widowControl w:val="0"/>
      <w:autoSpaceDE w:val="0"/>
      <w:autoSpaceDN w:val="0"/>
      <w:adjustRightInd w:val="0"/>
      <w:ind w:left="170"/>
      <w:jc w:val="both"/>
    </w:pPr>
    <w:rPr>
      <w:rFonts w:ascii="Arial" w:hAnsi="Arial" w:cs="Arial"/>
      <w:i/>
      <w:iCs/>
      <w:color w:val="800080"/>
    </w:rPr>
  </w:style>
  <w:style w:type="paragraph" w:customStyle="1" w:styleId="585">
    <w:name w:val="Информация об изменениях документа"/>
    <w:basedOn w:val="584"/>
    <w:next w:val="1"/>
    <w:qFormat/>
    <w:uiPriority w:val="99"/>
    <w:pPr>
      <w:ind w:left="0"/>
    </w:pPr>
  </w:style>
  <w:style w:type="paragraph" w:customStyle="1" w:styleId="586">
    <w:name w:val="Текст (лев. подпись)"/>
    <w:basedOn w:val="1"/>
    <w:next w:val="1"/>
    <w:qFormat/>
    <w:uiPriority w:val="99"/>
    <w:pPr>
      <w:widowControl w:val="0"/>
      <w:autoSpaceDE w:val="0"/>
      <w:autoSpaceDN w:val="0"/>
      <w:adjustRightInd w:val="0"/>
    </w:pPr>
    <w:rPr>
      <w:rFonts w:ascii="Arial" w:hAnsi="Arial" w:cs="Arial"/>
    </w:rPr>
  </w:style>
  <w:style w:type="paragraph" w:customStyle="1" w:styleId="587">
    <w:name w:val="Колонтитул (левый)"/>
    <w:basedOn w:val="586"/>
    <w:next w:val="1"/>
    <w:qFormat/>
    <w:uiPriority w:val="99"/>
    <w:pPr>
      <w:jc w:val="both"/>
    </w:pPr>
    <w:rPr>
      <w:sz w:val="16"/>
      <w:szCs w:val="16"/>
    </w:rPr>
  </w:style>
  <w:style w:type="paragraph" w:customStyle="1" w:styleId="588">
    <w:name w:val="Текст (прав. подпись)"/>
    <w:basedOn w:val="1"/>
    <w:next w:val="1"/>
    <w:qFormat/>
    <w:uiPriority w:val="99"/>
    <w:pPr>
      <w:widowControl w:val="0"/>
      <w:autoSpaceDE w:val="0"/>
      <w:autoSpaceDN w:val="0"/>
      <w:adjustRightInd w:val="0"/>
      <w:jc w:val="right"/>
    </w:pPr>
    <w:rPr>
      <w:rFonts w:ascii="Arial" w:hAnsi="Arial" w:cs="Arial"/>
    </w:rPr>
  </w:style>
  <w:style w:type="paragraph" w:customStyle="1" w:styleId="589">
    <w:name w:val="Колонтитул (правый)"/>
    <w:basedOn w:val="588"/>
    <w:next w:val="1"/>
    <w:qFormat/>
    <w:uiPriority w:val="99"/>
    <w:pPr>
      <w:jc w:val="both"/>
    </w:pPr>
    <w:rPr>
      <w:sz w:val="16"/>
      <w:szCs w:val="16"/>
    </w:rPr>
  </w:style>
  <w:style w:type="paragraph" w:customStyle="1" w:styleId="590">
    <w:name w:val="Комментарий пользователя"/>
    <w:basedOn w:val="584"/>
    <w:next w:val="1"/>
    <w:qFormat/>
    <w:uiPriority w:val="99"/>
    <w:pPr>
      <w:ind w:left="0"/>
      <w:jc w:val="left"/>
    </w:pPr>
    <w:rPr>
      <w:i w:val="0"/>
      <w:iCs w:val="0"/>
      <w:color w:val="000080"/>
    </w:rPr>
  </w:style>
  <w:style w:type="paragraph" w:customStyle="1" w:styleId="591">
    <w:name w:val="Куда обратиться?"/>
    <w:basedOn w:val="1"/>
    <w:next w:val="1"/>
    <w:qFormat/>
    <w:uiPriority w:val="99"/>
    <w:pPr>
      <w:widowControl w:val="0"/>
      <w:autoSpaceDE w:val="0"/>
      <w:autoSpaceDN w:val="0"/>
      <w:adjustRightInd w:val="0"/>
      <w:jc w:val="both"/>
    </w:pPr>
    <w:rPr>
      <w:rFonts w:ascii="Arial" w:hAnsi="Arial" w:cs="Arial"/>
    </w:rPr>
  </w:style>
  <w:style w:type="paragraph" w:customStyle="1" w:styleId="592">
    <w:name w:val="Моноширинный"/>
    <w:basedOn w:val="1"/>
    <w:next w:val="1"/>
    <w:qFormat/>
    <w:uiPriority w:val="99"/>
    <w:pPr>
      <w:widowControl w:val="0"/>
      <w:autoSpaceDE w:val="0"/>
      <w:autoSpaceDN w:val="0"/>
      <w:adjustRightInd w:val="0"/>
      <w:jc w:val="both"/>
    </w:pPr>
    <w:rPr>
      <w:rFonts w:ascii="Courier New" w:hAnsi="Courier New" w:cs="Courier New"/>
    </w:rPr>
  </w:style>
  <w:style w:type="character" w:customStyle="1" w:styleId="593">
    <w:name w:val="Найденные слова"/>
    <w:uiPriority w:val="99"/>
  </w:style>
  <w:style w:type="character" w:customStyle="1" w:styleId="594">
    <w:name w:val="Не вступил в силу"/>
    <w:uiPriority w:val="99"/>
    <w:rPr>
      <w:b/>
      <w:bCs/>
      <w:color w:val="008080"/>
    </w:rPr>
  </w:style>
  <w:style w:type="paragraph" w:customStyle="1" w:styleId="595">
    <w:name w:val="Необходимые документы"/>
    <w:basedOn w:val="1"/>
    <w:next w:val="1"/>
    <w:qFormat/>
    <w:uiPriority w:val="99"/>
    <w:pPr>
      <w:widowControl w:val="0"/>
      <w:autoSpaceDE w:val="0"/>
      <w:autoSpaceDN w:val="0"/>
      <w:adjustRightInd w:val="0"/>
      <w:ind w:left="118"/>
      <w:jc w:val="both"/>
    </w:pPr>
    <w:rPr>
      <w:rFonts w:ascii="Arial" w:hAnsi="Arial" w:cs="Arial"/>
    </w:rPr>
  </w:style>
  <w:style w:type="paragraph" w:customStyle="1" w:styleId="596">
    <w:name w:val="Объект"/>
    <w:basedOn w:val="1"/>
    <w:next w:val="1"/>
    <w:qFormat/>
    <w:uiPriority w:val="99"/>
    <w:pPr>
      <w:widowControl w:val="0"/>
      <w:autoSpaceDE w:val="0"/>
      <w:autoSpaceDN w:val="0"/>
      <w:adjustRightInd w:val="0"/>
      <w:jc w:val="both"/>
    </w:pPr>
  </w:style>
  <w:style w:type="paragraph" w:customStyle="1" w:styleId="597">
    <w:name w:val="Таблицы (моноширинный)"/>
    <w:basedOn w:val="1"/>
    <w:next w:val="1"/>
    <w:qFormat/>
    <w:uiPriority w:val="99"/>
    <w:pPr>
      <w:widowControl w:val="0"/>
      <w:autoSpaceDE w:val="0"/>
      <w:autoSpaceDN w:val="0"/>
      <w:adjustRightInd w:val="0"/>
      <w:jc w:val="both"/>
    </w:pPr>
    <w:rPr>
      <w:rFonts w:ascii="Courier New" w:hAnsi="Courier New" w:cs="Courier New"/>
    </w:rPr>
  </w:style>
  <w:style w:type="paragraph" w:customStyle="1" w:styleId="598">
    <w:name w:val="Оглавление"/>
    <w:basedOn w:val="597"/>
    <w:next w:val="1"/>
    <w:qFormat/>
    <w:uiPriority w:val="99"/>
    <w:pPr>
      <w:ind w:left="140"/>
    </w:pPr>
    <w:rPr>
      <w:rFonts w:ascii="Arial" w:hAnsi="Arial" w:cs="Arial"/>
    </w:rPr>
  </w:style>
  <w:style w:type="character" w:customStyle="1" w:styleId="599">
    <w:name w:val="Опечатки"/>
    <w:uiPriority w:val="99"/>
    <w:rPr>
      <w:color w:val="FF0000"/>
    </w:rPr>
  </w:style>
  <w:style w:type="paragraph" w:customStyle="1" w:styleId="600">
    <w:name w:val="Переменная часть"/>
    <w:basedOn w:val="579"/>
    <w:next w:val="1"/>
    <w:qFormat/>
    <w:uiPriority w:val="99"/>
    <w:rPr>
      <w:rFonts w:ascii="Arial" w:hAnsi="Arial" w:cs="Arial"/>
      <w:sz w:val="20"/>
      <w:szCs w:val="20"/>
    </w:rPr>
  </w:style>
  <w:style w:type="paragraph" w:customStyle="1" w:styleId="601">
    <w:name w:val="Постоянная часть"/>
    <w:basedOn w:val="579"/>
    <w:next w:val="1"/>
    <w:qFormat/>
    <w:uiPriority w:val="99"/>
    <w:rPr>
      <w:rFonts w:ascii="Arial" w:hAnsi="Arial" w:cs="Arial"/>
      <w:sz w:val="22"/>
      <w:szCs w:val="22"/>
    </w:rPr>
  </w:style>
  <w:style w:type="paragraph" w:customStyle="1" w:styleId="602">
    <w:name w:val="Пример."/>
    <w:basedOn w:val="1"/>
    <w:next w:val="1"/>
    <w:qFormat/>
    <w:uiPriority w:val="99"/>
    <w:pPr>
      <w:widowControl w:val="0"/>
      <w:autoSpaceDE w:val="0"/>
      <w:autoSpaceDN w:val="0"/>
      <w:adjustRightInd w:val="0"/>
      <w:ind w:left="118" w:firstLine="602"/>
      <w:jc w:val="both"/>
    </w:pPr>
    <w:rPr>
      <w:rFonts w:ascii="Arial" w:hAnsi="Arial" w:cs="Arial"/>
    </w:rPr>
  </w:style>
  <w:style w:type="paragraph" w:customStyle="1" w:styleId="603">
    <w:name w:val="Примечание."/>
    <w:basedOn w:val="584"/>
    <w:next w:val="1"/>
    <w:qFormat/>
    <w:uiPriority w:val="99"/>
    <w:pPr>
      <w:ind w:left="0"/>
    </w:pPr>
    <w:rPr>
      <w:i w:val="0"/>
      <w:iCs w:val="0"/>
      <w:color w:val="auto"/>
    </w:rPr>
  </w:style>
  <w:style w:type="character" w:customStyle="1" w:styleId="604">
    <w:name w:val="Продолжение ссылки"/>
    <w:uiPriority w:val="99"/>
  </w:style>
  <w:style w:type="paragraph" w:customStyle="1" w:styleId="605">
    <w:name w:val="Словарная статья"/>
    <w:basedOn w:val="1"/>
    <w:next w:val="1"/>
    <w:qFormat/>
    <w:uiPriority w:val="99"/>
    <w:pPr>
      <w:widowControl w:val="0"/>
      <w:autoSpaceDE w:val="0"/>
      <w:autoSpaceDN w:val="0"/>
      <w:adjustRightInd w:val="0"/>
      <w:ind w:right="118"/>
      <w:jc w:val="both"/>
    </w:pPr>
    <w:rPr>
      <w:rFonts w:ascii="Arial" w:hAnsi="Arial" w:cs="Arial"/>
    </w:rPr>
  </w:style>
  <w:style w:type="character" w:customStyle="1" w:styleId="606">
    <w:name w:val="Сравнение редакций"/>
    <w:uiPriority w:val="99"/>
  </w:style>
  <w:style w:type="character" w:customStyle="1" w:styleId="607">
    <w:name w:val="Сравнение редакций. Добавленный фрагмент"/>
    <w:uiPriority w:val="99"/>
    <w:rPr>
      <w:color w:val="0000FF"/>
    </w:rPr>
  </w:style>
  <w:style w:type="character" w:customStyle="1" w:styleId="608">
    <w:name w:val="Сравнение редакций. Удаленный фрагмент"/>
    <w:uiPriority w:val="99"/>
    <w:rPr>
      <w:strike/>
      <w:color w:val="808000"/>
    </w:rPr>
  </w:style>
  <w:style w:type="paragraph" w:customStyle="1" w:styleId="609">
    <w:name w:val="Текст (справка)"/>
    <w:basedOn w:val="1"/>
    <w:next w:val="1"/>
    <w:qFormat/>
    <w:uiPriority w:val="99"/>
    <w:pPr>
      <w:widowControl w:val="0"/>
      <w:autoSpaceDE w:val="0"/>
      <w:autoSpaceDN w:val="0"/>
      <w:adjustRightInd w:val="0"/>
      <w:ind w:left="170" w:right="170"/>
    </w:pPr>
    <w:rPr>
      <w:rFonts w:ascii="Arial" w:hAnsi="Arial" w:cs="Arial"/>
    </w:rPr>
  </w:style>
  <w:style w:type="paragraph" w:customStyle="1" w:styleId="610">
    <w:name w:val="Текст в таблице"/>
    <w:basedOn w:val="561"/>
    <w:next w:val="1"/>
    <w:qFormat/>
    <w:uiPriority w:val="99"/>
    <w:pPr>
      <w:ind w:firstLine="500"/>
    </w:pPr>
    <w:rPr>
      <w:rFonts w:cs="Arial"/>
    </w:rPr>
  </w:style>
  <w:style w:type="paragraph" w:customStyle="1" w:styleId="611">
    <w:name w:val="Технический комментарий"/>
    <w:basedOn w:val="1"/>
    <w:next w:val="1"/>
    <w:qFormat/>
    <w:uiPriority w:val="99"/>
    <w:pPr>
      <w:widowControl w:val="0"/>
      <w:autoSpaceDE w:val="0"/>
      <w:autoSpaceDN w:val="0"/>
      <w:adjustRightInd w:val="0"/>
    </w:pPr>
    <w:rPr>
      <w:rFonts w:ascii="Arial" w:hAnsi="Arial" w:cs="Arial"/>
    </w:rPr>
  </w:style>
  <w:style w:type="character" w:customStyle="1" w:styleId="612">
    <w:name w:val="Утратил силу"/>
    <w:uiPriority w:val="99"/>
    <w:rPr>
      <w:b/>
      <w:bCs/>
      <w:strike/>
      <w:color w:val="808000"/>
    </w:rPr>
  </w:style>
  <w:style w:type="paragraph" w:customStyle="1" w:styleId="613">
    <w:name w:val="Центрированный (таблица)"/>
    <w:basedOn w:val="561"/>
    <w:next w:val="1"/>
    <w:qFormat/>
    <w:uiPriority w:val="99"/>
    <w:pPr>
      <w:jc w:val="center"/>
    </w:pPr>
    <w:rPr>
      <w:rFonts w:cs="Arial"/>
    </w:rPr>
  </w:style>
  <w:style w:type="paragraph" w:customStyle="1" w:styleId="614">
    <w:name w:val="??????? (???)"/>
    <w:basedOn w:val="1"/>
    <w:qFormat/>
    <w:uiPriority w:val="0"/>
    <w:pPr>
      <w:widowControl w:val="0"/>
      <w:overflowPunct w:val="0"/>
      <w:autoSpaceDE w:val="0"/>
      <w:autoSpaceDN w:val="0"/>
      <w:adjustRightInd w:val="0"/>
      <w:spacing w:before="100" w:after="119"/>
      <w:textAlignment w:val="baseline"/>
    </w:pPr>
    <w:rPr>
      <w:szCs w:val="20"/>
    </w:rPr>
  </w:style>
  <w:style w:type="paragraph" w:customStyle="1" w:styleId="615">
    <w:name w:val="Стандартный"/>
    <w:basedOn w:val="1"/>
    <w:link w:val="616"/>
    <w:qFormat/>
    <w:uiPriority w:val="99"/>
    <w:pPr>
      <w:spacing w:line="360" w:lineRule="auto"/>
      <w:ind w:firstLine="851"/>
      <w:jc w:val="both"/>
    </w:pPr>
    <w:rPr>
      <w:rFonts w:ascii="Arial" w:hAnsi="Arial"/>
      <w:szCs w:val="20"/>
    </w:rPr>
  </w:style>
  <w:style w:type="character" w:customStyle="1" w:styleId="616">
    <w:name w:val="Стандартный Знак"/>
    <w:link w:val="615"/>
    <w:uiPriority w:val="99"/>
    <w:rPr>
      <w:rFonts w:ascii="Arial" w:hAnsi="Arial" w:eastAsia="Times New Roman"/>
      <w:sz w:val="24"/>
    </w:rPr>
  </w:style>
  <w:style w:type="paragraph" w:customStyle="1" w:styleId="617">
    <w:name w:val="Стиль Справа:  025 см Перед:  53 пт Междустр.интервал:  одинарн..."/>
    <w:basedOn w:val="1"/>
    <w:qFormat/>
    <w:uiPriority w:val="0"/>
    <w:pPr>
      <w:shd w:val="clear" w:color="auto" w:fill="FFFFFF"/>
      <w:ind w:right="142" w:firstLine="709"/>
      <w:jc w:val="both"/>
    </w:pPr>
    <w:rPr>
      <w:spacing w:val="4"/>
      <w:sz w:val="28"/>
      <w:szCs w:val="20"/>
    </w:rPr>
  </w:style>
  <w:style w:type="paragraph" w:customStyle="1" w:styleId="618">
    <w:name w:val="WW-Основной текст 3"/>
    <w:basedOn w:val="1"/>
    <w:qFormat/>
    <w:uiPriority w:val="0"/>
    <w:pPr>
      <w:widowControl w:val="0"/>
      <w:suppressAutoHyphens/>
      <w:spacing w:after="120"/>
    </w:pPr>
    <w:rPr>
      <w:rFonts w:eastAsia="Arial Unicode MS"/>
      <w:sz w:val="16"/>
      <w:szCs w:val="16"/>
    </w:rPr>
  </w:style>
  <w:style w:type="character" w:customStyle="1" w:styleId="619">
    <w:name w:val="Символ нумерации"/>
    <w:uiPriority w:val="0"/>
  </w:style>
  <w:style w:type="paragraph" w:customStyle="1" w:styleId="620">
    <w:name w:val="WW-Основной текст 2"/>
    <w:basedOn w:val="1"/>
    <w:qFormat/>
    <w:uiPriority w:val="0"/>
    <w:pPr>
      <w:widowControl w:val="0"/>
      <w:suppressAutoHyphens/>
      <w:spacing w:after="120" w:line="480" w:lineRule="auto"/>
    </w:pPr>
    <w:rPr>
      <w:rFonts w:eastAsia="Arial Unicode MS"/>
    </w:rPr>
  </w:style>
  <w:style w:type="paragraph" w:customStyle="1" w:styleId="621">
    <w:name w:val="Обычный2"/>
    <w:qFormat/>
    <w:uiPriority w:val="99"/>
    <w:rPr>
      <w:rFonts w:ascii="Times New Roman" w:hAnsi="Times New Roman" w:eastAsia="Times New Roman" w:cs="Times New Roman"/>
      <w:sz w:val="24"/>
      <w:lang w:val="ru-RU" w:eastAsia="ru-RU" w:bidi="ar-SA"/>
    </w:rPr>
  </w:style>
  <w:style w:type="paragraph" w:customStyle="1" w:styleId="622">
    <w:name w:val="WW-Основной текст с отступом 2"/>
    <w:basedOn w:val="1"/>
    <w:qFormat/>
    <w:uiPriority w:val="0"/>
    <w:pPr>
      <w:widowControl w:val="0"/>
      <w:suppressAutoHyphens/>
      <w:spacing w:after="120" w:line="480" w:lineRule="auto"/>
      <w:ind w:left="283"/>
    </w:pPr>
    <w:rPr>
      <w:rFonts w:eastAsia="Arial Unicode MS"/>
    </w:rPr>
  </w:style>
  <w:style w:type="paragraph" w:customStyle="1" w:styleId="623">
    <w:name w:val="?????????"/>
    <w:basedOn w:val="1"/>
    <w:next w:val="42"/>
    <w:qFormat/>
    <w:uiPriority w:val="0"/>
    <w:pPr>
      <w:keepNext/>
      <w:suppressAutoHyphens/>
      <w:spacing w:before="240" w:after="120"/>
    </w:pPr>
    <w:rPr>
      <w:rFonts w:ascii="Arial" w:hAnsi="Arial"/>
      <w:sz w:val="28"/>
      <w:szCs w:val="20"/>
      <w:lang w:eastAsia="ar-SA"/>
    </w:rPr>
  </w:style>
  <w:style w:type="paragraph" w:customStyle="1" w:styleId="624">
    <w:name w:val="Char Char Car Car Char Char Car Car Char Char Car Car Char Char"/>
    <w:basedOn w:val="1"/>
    <w:qFormat/>
    <w:uiPriority w:val="0"/>
    <w:pPr>
      <w:spacing w:after="160" w:line="240" w:lineRule="exact"/>
    </w:pPr>
    <w:rPr>
      <w:sz w:val="20"/>
      <w:szCs w:val="20"/>
    </w:rPr>
  </w:style>
  <w:style w:type="paragraph" w:customStyle="1" w:styleId="625">
    <w:name w:val="???????? ????? ? ???????? 31"/>
    <w:basedOn w:val="1"/>
    <w:qFormat/>
    <w:uiPriority w:val="0"/>
    <w:pPr>
      <w:suppressAutoHyphens/>
      <w:overflowPunct w:val="0"/>
      <w:autoSpaceDE w:val="0"/>
      <w:autoSpaceDN w:val="0"/>
      <w:adjustRightInd w:val="0"/>
      <w:ind w:left="1276" w:hanging="142"/>
      <w:jc w:val="both"/>
      <w:textAlignment w:val="baseline"/>
    </w:pPr>
    <w:rPr>
      <w:sz w:val="28"/>
      <w:szCs w:val="20"/>
    </w:rPr>
  </w:style>
  <w:style w:type="character" w:customStyle="1" w:styleId="626">
    <w:name w:val="Основной шрифт абзаца2"/>
    <w:uiPriority w:val="0"/>
  </w:style>
  <w:style w:type="character" w:customStyle="1" w:styleId="627">
    <w:name w:val="Знак сноски1"/>
    <w:uiPriority w:val="0"/>
    <w:rPr>
      <w:vertAlign w:val="superscript"/>
    </w:rPr>
  </w:style>
  <w:style w:type="character" w:customStyle="1" w:styleId="628">
    <w:name w:val="Номер страницы1"/>
    <w:basedOn w:val="626"/>
    <w:uiPriority w:val="0"/>
  </w:style>
  <w:style w:type="paragraph" w:customStyle="1" w:styleId="629">
    <w:name w:val="Заголовок 11"/>
    <w:basedOn w:val="621"/>
    <w:next w:val="621"/>
    <w:qFormat/>
    <w:uiPriority w:val="0"/>
    <w:pPr>
      <w:keepNext/>
      <w:suppressAutoHyphens/>
      <w:jc w:val="center"/>
    </w:pPr>
    <w:rPr>
      <w:rFonts w:eastAsia="Arial"/>
      <w:b/>
      <w:lang w:eastAsia="ar-SA"/>
    </w:rPr>
  </w:style>
  <w:style w:type="paragraph" w:customStyle="1" w:styleId="630">
    <w:name w:val="Название2"/>
    <w:basedOn w:val="621"/>
    <w:qFormat/>
    <w:uiPriority w:val="0"/>
    <w:pPr>
      <w:suppressAutoHyphens/>
      <w:jc w:val="center"/>
    </w:pPr>
    <w:rPr>
      <w:rFonts w:eastAsia="Arial"/>
      <w:b/>
      <w:sz w:val="28"/>
      <w:lang w:eastAsia="ar-SA"/>
    </w:rPr>
  </w:style>
  <w:style w:type="paragraph" w:customStyle="1" w:styleId="631">
    <w:name w:val="Текст сноски1"/>
    <w:basedOn w:val="621"/>
    <w:qFormat/>
    <w:uiPriority w:val="0"/>
    <w:pPr>
      <w:suppressAutoHyphens/>
    </w:pPr>
    <w:rPr>
      <w:rFonts w:eastAsia="Arial"/>
      <w:sz w:val="20"/>
      <w:lang w:eastAsia="ar-SA"/>
    </w:rPr>
  </w:style>
  <w:style w:type="paragraph" w:customStyle="1" w:styleId="632">
    <w:name w:val="Нижний колонтитул1"/>
    <w:basedOn w:val="621"/>
    <w:qFormat/>
    <w:uiPriority w:val="0"/>
    <w:pPr>
      <w:tabs>
        <w:tab w:val="center" w:pos="4677"/>
        <w:tab w:val="right" w:pos="9355"/>
      </w:tabs>
      <w:suppressAutoHyphens/>
    </w:pPr>
    <w:rPr>
      <w:rFonts w:eastAsia="Arial"/>
      <w:lang w:eastAsia="ar-SA"/>
    </w:rPr>
  </w:style>
  <w:style w:type="paragraph" w:customStyle="1" w:styleId="633">
    <w:name w:val="Содержимое врезки"/>
    <w:basedOn w:val="42"/>
    <w:qFormat/>
    <w:uiPriority w:val="0"/>
    <w:pPr>
      <w:widowControl w:val="0"/>
      <w:suppressAutoHyphens/>
      <w:spacing w:after="120"/>
      <w:ind w:left="0"/>
      <w:jc w:val="left"/>
    </w:pPr>
    <w:rPr>
      <w:rFonts w:eastAsia="Arial Unicode MS"/>
      <w:b w:val="0"/>
      <w:bCs w:val="0"/>
      <w:lang w:eastAsia="ar-SA"/>
    </w:rPr>
  </w:style>
  <w:style w:type="paragraph" w:customStyle="1" w:styleId="634">
    <w:name w:val="Новый абзац"/>
    <w:basedOn w:val="1"/>
    <w:link w:val="692"/>
    <w:qFormat/>
    <w:uiPriority w:val="0"/>
    <w:pPr>
      <w:ind w:firstLine="567"/>
      <w:jc w:val="both"/>
    </w:pPr>
    <w:rPr>
      <w:rFonts w:ascii="Arial" w:hAnsi="Arial"/>
      <w:szCs w:val="20"/>
    </w:rPr>
  </w:style>
  <w:style w:type="paragraph" w:customStyle="1" w:styleId="635">
    <w:name w:val="Список [-] (ПЗ)"/>
    <w:basedOn w:val="1"/>
    <w:qFormat/>
    <w:uiPriority w:val="0"/>
    <w:pPr>
      <w:tabs>
        <w:tab w:val="left" w:pos="1134"/>
      </w:tabs>
      <w:ind w:left="1134" w:hanging="397"/>
    </w:pPr>
    <w:rPr>
      <w:rFonts w:ascii="Arial" w:hAnsi="Arial"/>
      <w:szCs w:val="20"/>
    </w:rPr>
  </w:style>
  <w:style w:type="paragraph" w:customStyle="1" w:styleId="636">
    <w:name w:val="Text"/>
    <w:basedOn w:val="1"/>
    <w:link w:val="637"/>
    <w:qFormat/>
    <w:uiPriority w:val="99"/>
    <w:pPr>
      <w:spacing w:after="120"/>
    </w:pPr>
    <w:rPr>
      <w:szCs w:val="20"/>
    </w:rPr>
  </w:style>
  <w:style w:type="character" w:customStyle="1" w:styleId="637">
    <w:name w:val="Text Знак"/>
    <w:link w:val="636"/>
    <w:uiPriority w:val="99"/>
    <w:rPr>
      <w:rFonts w:ascii="Times New Roman" w:hAnsi="Times New Roman" w:eastAsia="Times New Roman"/>
      <w:sz w:val="24"/>
    </w:rPr>
  </w:style>
  <w:style w:type="paragraph" w:customStyle="1" w:styleId="638">
    <w:name w:val="текст"/>
    <w:qFormat/>
    <w:uiPriority w:val="99"/>
    <w:pPr>
      <w:overflowPunct w:val="0"/>
      <w:autoSpaceDE w:val="0"/>
      <w:autoSpaceDN w:val="0"/>
      <w:adjustRightInd w:val="0"/>
      <w:spacing w:after="120" w:line="240" w:lineRule="atLeast"/>
      <w:ind w:left="1418"/>
      <w:jc w:val="both"/>
      <w:textAlignment w:val="baseline"/>
    </w:pPr>
    <w:rPr>
      <w:rFonts w:ascii="Arial" w:hAnsi="Arial" w:eastAsia="Times New Roman" w:cs="Times New Roman"/>
      <w:sz w:val="24"/>
      <w:lang w:val="ru-RU" w:eastAsia="ru-RU" w:bidi="ar-SA"/>
    </w:rPr>
  </w:style>
  <w:style w:type="paragraph" w:customStyle="1" w:styleId="639">
    <w:name w:val="Обычный (ПЗ)"/>
    <w:basedOn w:val="1"/>
    <w:qFormat/>
    <w:uiPriority w:val="0"/>
    <w:pPr>
      <w:ind w:firstLine="567"/>
      <w:jc w:val="both"/>
    </w:pPr>
    <w:rPr>
      <w:rFonts w:ascii="Arial" w:hAnsi="Arial"/>
      <w:b/>
      <w:szCs w:val="20"/>
    </w:rPr>
  </w:style>
  <w:style w:type="paragraph" w:customStyle="1" w:styleId="640">
    <w:name w:val="Обычный с отступ."/>
    <w:basedOn w:val="1"/>
    <w:link w:val="693"/>
    <w:qFormat/>
    <w:uiPriority w:val="0"/>
    <w:pPr>
      <w:ind w:firstLine="720"/>
      <w:jc w:val="both"/>
    </w:pPr>
    <w:rPr>
      <w:rFonts w:ascii="Arial" w:hAnsi="Arial"/>
      <w:szCs w:val="20"/>
    </w:rPr>
  </w:style>
  <w:style w:type="paragraph" w:customStyle="1" w:styleId="641">
    <w:name w:val="Table Heading"/>
    <w:basedOn w:val="642"/>
    <w:next w:val="642"/>
    <w:qFormat/>
    <w:uiPriority w:val="99"/>
    <w:pPr>
      <w:spacing w:before="120"/>
      <w:jc w:val="center"/>
    </w:pPr>
    <w:rPr>
      <w:b/>
      <w:sz w:val="22"/>
    </w:rPr>
  </w:style>
  <w:style w:type="paragraph" w:customStyle="1" w:styleId="642">
    <w:name w:val="Table Text"/>
    <w:basedOn w:val="1"/>
    <w:qFormat/>
    <w:uiPriority w:val="99"/>
    <w:pPr>
      <w:spacing w:after="120"/>
    </w:pPr>
    <w:rPr>
      <w:rFonts w:ascii="Arial" w:hAnsi="Arial"/>
      <w:szCs w:val="20"/>
    </w:rPr>
  </w:style>
  <w:style w:type="paragraph" w:customStyle="1" w:styleId="643">
    <w:name w:val="FR2"/>
    <w:qFormat/>
    <w:uiPriority w:val="99"/>
    <w:pPr>
      <w:widowControl w:val="0"/>
      <w:jc w:val="right"/>
    </w:pPr>
    <w:rPr>
      <w:rFonts w:ascii="Courier New" w:hAnsi="Courier New" w:eastAsia="Times New Roman" w:cs="Times New Roman"/>
      <w:b/>
      <w:snapToGrid w:val="0"/>
      <w:lang w:val="ru-RU" w:eastAsia="ru-RU" w:bidi="ar-SA"/>
    </w:rPr>
  </w:style>
  <w:style w:type="paragraph" w:customStyle="1" w:styleId="644">
    <w:name w:val="Список 2.литература"/>
    <w:basedOn w:val="1"/>
    <w:qFormat/>
    <w:uiPriority w:val="99"/>
    <w:pPr>
      <w:spacing w:before="120" w:after="120" w:line="536870612" w:lineRule="auto"/>
      <w:ind w:left="284" w:hanging="284"/>
      <w:jc w:val="both"/>
    </w:pPr>
  </w:style>
  <w:style w:type="character" w:customStyle="1" w:styleId="645">
    <w:name w:val="ts21"/>
    <w:uiPriority w:val="0"/>
    <w:rPr>
      <w:rFonts w:hint="default" w:ascii="Times New Roman" w:hAnsi="Times New Roman" w:cs="Times New Roman"/>
      <w:color w:val="884706"/>
      <w:sz w:val="24"/>
      <w:szCs w:val="24"/>
    </w:rPr>
  </w:style>
  <w:style w:type="character" w:customStyle="1" w:styleId="646">
    <w:name w:val="ttl1"/>
    <w:uiPriority w:val="99"/>
    <w:rPr>
      <w:rFonts w:hint="default" w:ascii="Arial" w:hAnsi="Arial" w:cs="Arial"/>
      <w:b/>
      <w:bCs/>
      <w:color w:val="003263"/>
      <w:sz w:val="48"/>
      <w:szCs w:val="48"/>
    </w:rPr>
  </w:style>
  <w:style w:type="paragraph" w:customStyle="1" w:styleId="647">
    <w:name w:val="Текст с отступом"/>
    <w:basedOn w:val="1"/>
    <w:qFormat/>
    <w:uiPriority w:val="99"/>
    <w:rPr>
      <w:rFonts w:ascii="Arial" w:hAnsi="Arial"/>
      <w:sz w:val="20"/>
    </w:rPr>
  </w:style>
  <w:style w:type="character" w:customStyle="1" w:styleId="648">
    <w:name w:val="Subtle Reference"/>
    <w:qFormat/>
    <w:uiPriority w:val="99"/>
    <w:rPr>
      <w:smallCaps/>
      <w:color w:val="C0504D"/>
      <w:u w:val="single"/>
    </w:rPr>
  </w:style>
  <w:style w:type="paragraph" w:customStyle="1" w:styleId="649">
    <w:name w:val="ПЗ"/>
    <w:basedOn w:val="1"/>
    <w:qFormat/>
    <w:uiPriority w:val="0"/>
    <w:pPr>
      <w:suppressAutoHyphens/>
      <w:ind w:firstLine="709"/>
      <w:jc w:val="both"/>
    </w:pPr>
    <w:rPr>
      <w:rFonts w:ascii="Arial" w:hAnsi="Arial"/>
      <w:szCs w:val="20"/>
    </w:rPr>
  </w:style>
  <w:style w:type="paragraph" w:customStyle="1" w:styleId="650">
    <w:name w:val="табл_строка"/>
    <w:basedOn w:val="42"/>
    <w:qFormat/>
    <w:uiPriority w:val="99"/>
    <w:pPr>
      <w:spacing w:before="120"/>
      <w:ind w:left="0"/>
      <w:jc w:val="center"/>
    </w:pPr>
    <w:rPr>
      <w:b w:val="0"/>
      <w:bCs w:val="0"/>
      <w:szCs w:val="20"/>
    </w:rPr>
  </w:style>
  <w:style w:type="paragraph" w:customStyle="1" w:styleId="651">
    <w:name w:val="Заголовок_3_IG"/>
    <w:basedOn w:val="4"/>
    <w:qFormat/>
    <w:uiPriority w:val="99"/>
    <w:pPr>
      <w:tabs>
        <w:tab w:val="left" w:pos="1134"/>
      </w:tabs>
      <w:spacing w:after="240" w:line="360" w:lineRule="auto"/>
      <w:ind w:firstLine="709"/>
      <w:jc w:val="both"/>
    </w:pPr>
    <w:rPr>
      <w:sz w:val="24"/>
      <w:szCs w:val="24"/>
    </w:rPr>
  </w:style>
  <w:style w:type="paragraph" w:customStyle="1" w:styleId="652">
    <w:name w:val="Обычный3"/>
    <w:qFormat/>
    <w:uiPriority w:val="99"/>
    <w:rPr>
      <w:rFonts w:ascii="Times New Roman" w:hAnsi="Times New Roman" w:eastAsia="Times New Roman" w:cs="Times New Roman"/>
      <w:lang w:val="ru-RU" w:eastAsia="ru-RU" w:bidi="ar-SA"/>
    </w:rPr>
  </w:style>
  <w:style w:type="paragraph" w:customStyle="1" w:styleId="653">
    <w:name w:val="заголовок 9"/>
    <w:basedOn w:val="1"/>
    <w:next w:val="1"/>
    <w:qFormat/>
    <w:uiPriority w:val="99"/>
    <w:pPr>
      <w:keepNext/>
      <w:jc w:val="center"/>
    </w:pPr>
    <w:rPr>
      <w:szCs w:val="20"/>
    </w:rPr>
  </w:style>
  <w:style w:type="paragraph" w:customStyle="1" w:styleId="654">
    <w:name w:val="основной текст"/>
    <w:basedOn w:val="1"/>
    <w:qFormat/>
    <w:uiPriority w:val="99"/>
    <w:pPr>
      <w:spacing w:after="120"/>
      <w:ind w:firstLine="851"/>
      <w:jc w:val="both"/>
    </w:pPr>
    <w:rPr>
      <w:rFonts w:ascii="Arial" w:hAnsi="Arial"/>
      <w:sz w:val="28"/>
      <w:szCs w:val="20"/>
    </w:rPr>
  </w:style>
  <w:style w:type="paragraph" w:customStyle="1" w:styleId="655">
    <w:name w:val="Обычный (ПЗ) Знак Знак"/>
    <w:basedOn w:val="1"/>
    <w:link w:val="656"/>
    <w:qFormat/>
    <w:uiPriority w:val="99"/>
    <w:pPr>
      <w:ind w:firstLine="720"/>
      <w:jc w:val="both"/>
    </w:pPr>
    <w:rPr>
      <w:rFonts w:ascii="Arial" w:hAnsi="Arial"/>
      <w:szCs w:val="20"/>
    </w:rPr>
  </w:style>
  <w:style w:type="character" w:customStyle="1" w:styleId="656">
    <w:name w:val="Обычный (ПЗ) Знак Знак Знак"/>
    <w:link w:val="655"/>
    <w:uiPriority w:val="99"/>
    <w:rPr>
      <w:rFonts w:ascii="Arial" w:hAnsi="Arial" w:eastAsia="Times New Roman"/>
      <w:sz w:val="24"/>
    </w:rPr>
  </w:style>
  <w:style w:type="table" w:styleId="657">
    <w:name w:val="Light List Accent 3"/>
    <w:basedOn w:val="100"/>
    <w:uiPriority w:val="99"/>
    <w:rPr>
      <w:rFonts w:eastAsia="Times New Roman"/>
      <w:sz w:val="22"/>
      <w:szCs w:val="22"/>
      <w:lang w:eastAsia="en-US"/>
    </w:rPr>
    <w:tblPr>
      <w:tblBorders>
        <w:top w:val="single" w:color="9BBB59" w:sz="8" w:space="0"/>
        <w:left w:val="single" w:color="9BBB59" w:sz="8" w:space="0"/>
        <w:bottom w:val="single" w:color="9BBB59" w:sz="8" w:space="0"/>
        <w:right w:val="single" w:color="9BBB59" w:sz="8" w:space="0"/>
      </w:tblBorders>
      <w:tblLayout w:type="fixed"/>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paragraph" w:customStyle="1" w:styleId="658">
    <w:name w:val="Engineer 1"/>
    <w:basedOn w:val="615"/>
    <w:link w:val="659"/>
    <w:qFormat/>
    <w:uiPriority w:val="99"/>
  </w:style>
  <w:style w:type="character" w:customStyle="1" w:styleId="659">
    <w:name w:val="Engineer 1 Знак"/>
    <w:link w:val="658"/>
    <w:uiPriority w:val="99"/>
    <w:rPr>
      <w:rFonts w:ascii="Arial" w:hAnsi="Arial" w:eastAsia="Times New Roman"/>
      <w:sz w:val="24"/>
    </w:rPr>
  </w:style>
  <w:style w:type="paragraph" w:customStyle="1" w:styleId="660">
    <w:name w:val="Bibliography"/>
    <w:basedOn w:val="1"/>
    <w:next w:val="1"/>
    <w:unhideWhenUsed/>
    <w:uiPriority w:val="99"/>
    <w:rPr>
      <w:rFonts w:ascii="Arial" w:hAnsi="Arial"/>
      <w:szCs w:val="20"/>
    </w:rPr>
  </w:style>
  <w:style w:type="paragraph" w:customStyle="1" w:styleId="661">
    <w:name w:val="Engineer 2"/>
    <w:basedOn w:val="658"/>
    <w:link w:val="662"/>
    <w:qFormat/>
    <w:uiPriority w:val="99"/>
    <w:pPr>
      <w:spacing w:before="160" w:after="160"/>
    </w:pPr>
    <w:rPr>
      <w:u w:val="single"/>
    </w:rPr>
  </w:style>
  <w:style w:type="character" w:customStyle="1" w:styleId="662">
    <w:name w:val="Engineer 2 Знак"/>
    <w:link w:val="661"/>
    <w:uiPriority w:val="99"/>
    <w:rPr>
      <w:rFonts w:ascii="Arial" w:hAnsi="Arial" w:eastAsia="Times New Roman"/>
      <w:sz w:val="24"/>
      <w:u w:val="single"/>
    </w:rPr>
  </w:style>
  <w:style w:type="paragraph" w:customStyle="1" w:styleId="663">
    <w:name w:val="Engineer T"/>
    <w:basedOn w:val="1"/>
    <w:link w:val="664"/>
    <w:qFormat/>
    <w:uiPriority w:val="99"/>
    <w:pPr>
      <w:suppressAutoHyphens/>
      <w:spacing w:line="360" w:lineRule="auto"/>
      <w:jc w:val="center"/>
    </w:pPr>
    <w:rPr>
      <w:rFonts w:ascii="Arial" w:hAnsi="Arial"/>
      <w:szCs w:val="20"/>
    </w:rPr>
  </w:style>
  <w:style w:type="character" w:customStyle="1" w:styleId="664">
    <w:name w:val="Engineer T Знак"/>
    <w:link w:val="663"/>
    <w:uiPriority w:val="99"/>
    <w:rPr>
      <w:rFonts w:ascii="Arial" w:hAnsi="Arial" w:eastAsia="Times New Roman"/>
      <w:sz w:val="24"/>
    </w:rPr>
  </w:style>
  <w:style w:type="paragraph" w:customStyle="1" w:styleId="665">
    <w:name w:val="Engineer T 2"/>
    <w:basedOn w:val="663"/>
    <w:link w:val="666"/>
    <w:qFormat/>
    <w:uiPriority w:val="99"/>
    <w:pPr>
      <w:jc w:val="both"/>
    </w:pPr>
  </w:style>
  <w:style w:type="character" w:customStyle="1" w:styleId="666">
    <w:name w:val="Engineer T 2 Знак"/>
    <w:link w:val="665"/>
    <w:uiPriority w:val="99"/>
    <w:rPr>
      <w:rFonts w:ascii="Arial" w:hAnsi="Arial" w:eastAsia="Times New Roman"/>
      <w:sz w:val="24"/>
    </w:rPr>
  </w:style>
  <w:style w:type="character" w:customStyle="1" w:styleId="667">
    <w:name w:val="Таблица Знак"/>
    <w:link w:val="173"/>
    <w:uiPriority w:val="99"/>
    <w:rPr>
      <w:rFonts w:ascii="Times New Roman" w:hAnsi="Times New Roman" w:eastAsia="Times New Roman"/>
    </w:rPr>
  </w:style>
  <w:style w:type="character" w:customStyle="1" w:styleId="668">
    <w:name w:val="Intense Reference"/>
    <w:qFormat/>
    <w:uiPriority w:val="99"/>
    <w:rPr>
      <w:b/>
      <w:bCs/>
      <w:smallCaps/>
      <w:color w:val="C0504D"/>
      <w:spacing w:val="5"/>
      <w:u w:val="single"/>
    </w:rPr>
  </w:style>
  <w:style w:type="paragraph" w:styleId="669">
    <w:name w:val="Quote"/>
    <w:basedOn w:val="1"/>
    <w:next w:val="1"/>
    <w:link w:val="670"/>
    <w:qFormat/>
    <w:uiPriority w:val="99"/>
    <w:rPr>
      <w:rFonts w:ascii="Arial" w:hAnsi="Arial"/>
      <w:i/>
      <w:iCs/>
      <w:color w:val="000000"/>
      <w:szCs w:val="20"/>
    </w:rPr>
  </w:style>
  <w:style w:type="character" w:customStyle="1" w:styleId="670">
    <w:name w:val="Цитата 2 Знак"/>
    <w:link w:val="669"/>
    <w:uiPriority w:val="99"/>
    <w:rPr>
      <w:rFonts w:ascii="Arial" w:hAnsi="Arial" w:eastAsia="Times New Roman"/>
      <w:i/>
      <w:iCs/>
      <w:color w:val="000000"/>
      <w:sz w:val="24"/>
    </w:rPr>
  </w:style>
  <w:style w:type="paragraph" w:styleId="671">
    <w:name w:val="Intense Quote"/>
    <w:basedOn w:val="1"/>
    <w:next w:val="1"/>
    <w:link w:val="672"/>
    <w:qFormat/>
    <w:uiPriority w:val="99"/>
    <w:pPr>
      <w:pBdr>
        <w:bottom w:val="single" w:color="4F81BD" w:sz="4" w:space="4"/>
      </w:pBdr>
      <w:spacing w:before="200" w:after="280"/>
      <w:ind w:left="936" w:right="936"/>
    </w:pPr>
    <w:rPr>
      <w:rFonts w:ascii="Arial" w:hAnsi="Arial"/>
      <w:b/>
      <w:bCs/>
      <w:i/>
      <w:iCs/>
      <w:color w:val="4F81BD"/>
      <w:szCs w:val="20"/>
    </w:rPr>
  </w:style>
  <w:style w:type="character" w:customStyle="1" w:styleId="672">
    <w:name w:val="Выделенная цитата Знак"/>
    <w:link w:val="671"/>
    <w:uiPriority w:val="99"/>
    <w:rPr>
      <w:rFonts w:ascii="Arial" w:hAnsi="Arial" w:eastAsia="Times New Roman"/>
      <w:b/>
      <w:bCs/>
      <w:i/>
      <w:iCs/>
      <w:color w:val="4F81BD"/>
      <w:sz w:val="24"/>
    </w:rPr>
  </w:style>
  <w:style w:type="paragraph" w:customStyle="1" w:styleId="673">
    <w:name w:val="Заголовок ДБ"/>
    <w:basedOn w:val="1"/>
    <w:qFormat/>
    <w:uiPriority w:val="99"/>
    <w:rPr>
      <w:rFonts w:ascii="Arial" w:hAnsi="Arial"/>
      <w:caps/>
      <w:sz w:val="28"/>
      <w:szCs w:val="20"/>
    </w:rPr>
  </w:style>
  <w:style w:type="paragraph" w:customStyle="1" w:styleId="674">
    <w:name w:val="Аншлаг таблицы"/>
    <w:basedOn w:val="19"/>
    <w:next w:val="1"/>
    <w:qFormat/>
    <w:uiPriority w:val="99"/>
    <w:pPr>
      <w:spacing w:after="60"/>
      <w:jc w:val="right"/>
    </w:pPr>
    <w:rPr>
      <w:rFonts w:ascii="Arial" w:hAnsi="Arial"/>
      <w:sz w:val="28"/>
    </w:rPr>
  </w:style>
  <w:style w:type="character" w:customStyle="1" w:styleId="675">
    <w:name w:val="Электронная подпись Знак"/>
    <w:link w:val="87"/>
    <w:qFormat/>
    <w:uiPriority w:val="99"/>
    <w:rPr>
      <w:rFonts w:ascii="Arial" w:hAnsi="Arial" w:eastAsia="Times New Roman"/>
      <w:sz w:val="24"/>
    </w:rPr>
  </w:style>
  <w:style w:type="character" w:customStyle="1" w:styleId="676">
    <w:name w:val="Heading 6 Char"/>
    <w:locked/>
    <w:uiPriority w:val="0"/>
    <w:rPr>
      <w:rFonts w:ascii="Arial" w:hAnsi="Arial"/>
      <w:b/>
      <w:sz w:val="24"/>
    </w:rPr>
  </w:style>
  <w:style w:type="character" w:customStyle="1" w:styleId="677">
    <w:name w:val="Body Text Char"/>
    <w:locked/>
    <w:uiPriority w:val="99"/>
    <w:rPr>
      <w:rFonts w:ascii="Arial" w:hAnsi="Arial"/>
      <w:sz w:val="28"/>
    </w:rPr>
  </w:style>
  <w:style w:type="character" w:customStyle="1" w:styleId="678">
    <w:name w:val="Plain Text Char"/>
    <w:locked/>
    <w:uiPriority w:val="0"/>
    <w:rPr>
      <w:rFonts w:ascii="Courier New" w:hAnsi="Courier New"/>
      <w:lang w:val="uk-UA"/>
    </w:rPr>
  </w:style>
  <w:style w:type="character" w:customStyle="1" w:styleId="679">
    <w:name w:val="Body Text 3 Char"/>
    <w:locked/>
    <w:uiPriority w:val="0"/>
    <w:rPr>
      <w:rFonts w:ascii="Arial" w:hAnsi="Arial"/>
      <w:sz w:val="24"/>
    </w:rPr>
  </w:style>
  <w:style w:type="character" w:customStyle="1" w:styleId="680">
    <w:name w:val="Body Text 2 Char"/>
    <w:locked/>
    <w:uiPriority w:val="0"/>
    <w:rPr>
      <w:rFonts w:ascii="Arial" w:hAnsi="Arial"/>
      <w:color w:val="000000"/>
      <w:sz w:val="24"/>
    </w:rPr>
  </w:style>
  <w:style w:type="paragraph" w:customStyle="1" w:styleId="681">
    <w:name w:val="FR5"/>
    <w:qFormat/>
    <w:uiPriority w:val="0"/>
    <w:pPr>
      <w:widowControl w:val="0"/>
      <w:overflowPunct w:val="0"/>
      <w:autoSpaceDE w:val="0"/>
      <w:autoSpaceDN w:val="0"/>
      <w:adjustRightInd w:val="0"/>
      <w:spacing w:before="120"/>
      <w:jc w:val="right"/>
      <w:textAlignment w:val="baseline"/>
    </w:pPr>
    <w:rPr>
      <w:rFonts w:ascii="Arial" w:hAnsi="Arial" w:eastAsia="Times New Roman" w:cs="Times New Roman"/>
      <w:sz w:val="16"/>
      <w:lang w:val="ru-RU" w:eastAsia="ru-RU" w:bidi="ar-SA"/>
    </w:rPr>
  </w:style>
  <w:style w:type="paragraph" w:customStyle="1" w:styleId="682">
    <w:name w:val="заголовок 5"/>
    <w:basedOn w:val="1"/>
    <w:next w:val="1"/>
    <w:qFormat/>
    <w:uiPriority w:val="99"/>
    <w:pPr>
      <w:keepNext/>
      <w:jc w:val="both"/>
    </w:pPr>
    <w:rPr>
      <w:szCs w:val="20"/>
    </w:rPr>
  </w:style>
  <w:style w:type="paragraph" w:customStyle="1" w:styleId="683">
    <w:name w:val="predc"/>
    <w:basedOn w:val="1"/>
    <w:qFormat/>
    <w:uiPriority w:val="99"/>
    <w:pPr>
      <w:spacing w:before="100" w:beforeAutospacing="1" w:after="100" w:afterAutospacing="1"/>
    </w:pPr>
  </w:style>
  <w:style w:type="character" w:customStyle="1" w:styleId="684">
    <w:name w:val="txt"/>
    <w:basedOn w:val="88"/>
    <w:uiPriority w:val="99"/>
  </w:style>
  <w:style w:type="character" w:customStyle="1" w:styleId="685">
    <w:name w:val="Heading 4 Char"/>
    <w:locked/>
    <w:uiPriority w:val="99"/>
    <w:rPr>
      <w:rFonts w:ascii="Arial" w:hAnsi="Arial" w:cs="Times New Roman"/>
      <w:caps/>
      <w:sz w:val="24"/>
    </w:rPr>
  </w:style>
  <w:style w:type="character" w:customStyle="1" w:styleId="686">
    <w:name w:val="Heading 9 Char"/>
    <w:locked/>
    <w:uiPriority w:val="99"/>
    <w:rPr>
      <w:rFonts w:ascii="Arial" w:hAnsi="Arial" w:cs="Times New Roman"/>
      <w:b/>
      <w:sz w:val="32"/>
    </w:rPr>
  </w:style>
  <w:style w:type="character" w:customStyle="1" w:styleId="687">
    <w:name w:val="Heading 3 Char"/>
    <w:locked/>
    <w:uiPriority w:val="99"/>
    <w:rPr>
      <w:rFonts w:ascii="Arial" w:hAnsi="Arial" w:cs="Times New Roman"/>
      <w:b/>
      <w:sz w:val="24"/>
      <w:lang w:val="ru-RU" w:eastAsia="ru-RU" w:bidi="ar-SA"/>
    </w:rPr>
  </w:style>
  <w:style w:type="character" w:customStyle="1" w:styleId="688">
    <w:name w:val="Header Char"/>
    <w:locked/>
    <w:uiPriority w:val="99"/>
    <w:rPr>
      <w:rFonts w:ascii="Arial" w:hAnsi="Arial" w:cs="Times New Roman"/>
      <w:sz w:val="24"/>
    </w:rPr>
  </w:style>
  <w:style w:type="character" w:customStyle="1" w:styleId="689">
    <w:name w:val="Oaaee?iue Знак"/>
    <w:uiPriority w:val="99"/>
    <w:rPr>
      <w:rFonts w:ascii="Arial" w:hAnsi="Arial" w:eastAsia="Calibri"/>
      <w:sz w:val="22"/>
      <w:szCs w:val="24"/>
      <w:lang w:val="ru-RU" w:eastAsia="en-US" w:bidi="ar-SA"/>
    </w:rPr>
  </w:style>
  <w:style w:type="paragraph" w:customStyle="1" w:styleId="690">
    <w:name w:val="Обычный4"/>
    <w:qFormat/>
    <w:uiPriority w:val="0"/>
    <w:rPr>
      <w:rFonts w:ascii="Times New Roman" w:hAnsi="Times New Roman" w:eastAsia="Times New Roman" w:cs="Times New Roman"/>
      <w:snapToGrid w:val="0"/>
      <w:sz w:val="24"/>
      <w:lang w:val="ru-RU" w:eastAsia="ru-RU" w:bidi="ar-SA"/>
    </w:rPr>
  </w:style>
  <w:style w:type="paragraph" w:customStyle="1" w:styleId="691">
    <w:name w:val="Normal1"/>
    <w:qFormat/>
    <w:uiPriority w:val="99"/>
    <w:rPr>
      <w:rFonts w:ascii="Arial" w:hAnsi="Arial" w:eastAsia="Times New Roman" w:cs="Times New Roman"/>
      <w:sz w:val="24"/>
      <w:szCs w:val="24"/>
      <w:lang w:val="ru-RU" w:eastAsia="ru-RU" w:bidi="ar-SA"/>
    </w:rPr>
  </w:style>
  <w:style w:type="character" w:customStyle="1" w:styleId="692">
    <w:name w:val="Новый абзац Знак2"/>
    <w:link w:val="634"/>
    <w:uiPriority w:val="0"/>
    <w:rPr>
      <w:rFonts w:ascii="Arial" w:hAnsi="Arial" w:eastAsia="Times New Roman"/>
      <w:sz w:val="24"/>
    </w:rPr>
  </w:style>
  <w:style w:type="character" w:customStyle="1" w:styleId="693">
    <w:name w:val="Обычный с отступ. Знак"/>
    <w:link w:val="640"/>
    <w:uiPriority w:val="0"/>
    <w:rPr>
      <w:rFonts w:ascii="Arial" w:hAnsi="Arial" w:eastAsia="Times New Roman"/>
      <w:sz w:val="24"/>
    </w:rPr>
  </w:style>
  <w:style w:type="paragraph" w:customStyle="1" w:styleId="694">
    <w:name w:val="Без красной строки"/>
    <w:basedOn w:val="1"/>
    <w:next w:val="1"/>
    <w:qFormat/>
    <w:uiPriority w:val="0"/>
    <w:pPr>
      <w:widowControl w:val="0"/>
      <w:jc w:val="both"/>
    </w:pPr>
    <w:rPr>
      <w:sz w:val="28"/>
      <w:szCs w:val="20"/>
    </w:rPr>
  </w:style>
  <w:style w:type="paragraph" w:customStyle="1" w:styleId="695">
    <w:name w:val="textosn"/>
    <w:basedOn w:val="1"/>
    <w:qFormat/>
    <w:uiPriority w:val="0"/>
    <w:pPr>
      <w:spacing w:before="100" w:beforeAutospacing="1" w:after="100" w:afterAutospacing="1"/>
    </w:pPr>
  </w:style>
  <w:style w:type="character" w:customStyle="1" w:styleId="696">
    <w:name w:val="WW8Num54z2"/>
    <w:uiPriority w:val="0"/>
    <w:rPr>
      <w:rFonts w:ascii="Wingdings" w:hAnsi="Wingdings"/>
    </w:rPr>
  </w:style>
  <w:style w:type="character" w:customStyle="1" w:styleId="697">
    <w:name w:val="WW8Num30z1"/>
    <w:uiPriority w:val="0"/>
    <w:rPr>
      <w:rFonts w:ascii="Courier New" w:hAnsi="Courier New" w:cs="Courier New"/>
    </w:rPr>
  </w:style>
  <w:style w:type="paragraph" w:customStyle="1" w:styleId="698">
    <w:name w:val="Записка"/>
    <w:basedOn w:val="1"/>
    <w:qFormat/>
    <w:uiPriority w:val="0"/>
    <w:pPr>
      <w:suppressAutoHyphens/>
      <w:spacing w:line="360" w:lineRule="auto"/>
      <w:ind w:firstLine="709"/>
      <w:jc w:val="both"/>
    </w:pPr>
    <w:rPr>
      <w:rFonts w:ascii="Arial" w:hAnsi="Arial" w:eastAsia="SimSun" w:cs="Mangal"/>
      <w:kern w:val="1"/>
      <w:lang w:eastAsia="hi-IN" w:bidi="hi-IN"/>
    </w:rPr>
  </w:style>
  <w:style w:type="paragraph" w:customStyle="1" w:styleId="699">
    <w:name w:val="Маркированный_список_IG"/>
    <w:basedOn w:val="1"/>
    <w:qFormat/>
    <w:uiPriority w:val="0"/>
    <w:pPr>
      <w:numPr>
        <w:ilvl w:val="0"/>
        <w:numId w:val="12"/>
      </w:numPr>
      <w:tabs>
        <w:tab w:val="left" w:pos="1134"/>
      </w:tabs>
      <w:snapToGrid w:val="0"/>
      <w:spacing w:line="360" w:lineRule="auto"/>
      <w:jc w:val="both"/>
    </w:pPr>
    <w:rPr>
      <w:sz w:val="28"/>
      <w:szCs w:val="28"/>
    </w:rPr>
  </w:style>
  <w:style w:type="character" w:customStyle="1" w:styleId="700">
    <w:name w:val="Обычный (веб) Знак"/>
    <w:link w:val="71"/>
    <w:locked/>
    <w:uiPriority w:val="99"/>
    <w:rPr>
      <w:rFonts w:ascii="Times New Roman" w:hAnsi="Times New Roman" w:eastAsia="Times New Roman"/>
      <w:sz w:val="24"/>
      <w:szCs w:val="24"/>
    </w:rPr>
  </w:style>
  <w:style w:type="paragraph" w:customStyle="1" w:styleId="701">
    <w:name w:val="обычный_1 Знак Знак Знак Знак Знак Знак Знак Знак Знак"/>
    <w:basedOn w:val="1"/>
    <w:qFormat/>
    <w:uiPriority w:val="0"/>
    <w:pPr>
      <w:spacing w:before="100" w:beforeAutospacing="1" w:after="100" w:afterAutospacing="1"/>
      <w:jc w:val="both"/>
    </w:pPr>
    <w:rPr>
      <w:rFonts w:ascii="Tahoma" w:hAnsi="Tahoma"/>
      <w:sz w:val="20"/>
      <w:szCs w:val="20"/>
      <w:lang w:val="en-US" w:eastAsia="en-US"/>
    </w:rPr>
  </w:style>
  <w:style w:type="paragraph" w:customStyle="1" w:styleId="702">
    <w:name w:val="Без интервала1"/>
    <w:qFormat/>
    <w:uiPriority w:val="0"/>
    <w:rPr>
      <w:rFonts w:ascii="Calibri" w:hAnsi="Calibri" w:eastAsia="Calibri" w:cs="Times New Roman"/>
      <w:sz w:val="22"/>
      <w:szCs w:val="22"/>
      <w:lang w:val="ru-RU" w:eastAsia="en-US" w:bidi="ar-SA"/>
    </w:rPr>
  </w:style>
  <w:style w:type="character" w:customStyle="1" w:styleId="703">
    <w:name w:val="Font Style14"/>
    <w:uiPriority w:val="0"/>
    <w:rPr>
      <w:rFonts w:ascii="Times New Roman" w:hAnsi="Times New Roman" w:cs="Times New Roman"/>
      <w:sz w:val="24"/>
      <w:szCs w:val="24"/>
    </w:rPr>
  </w:style>
  <w:style w:type="paragraph" w:customStyle="1" w:styleId="704">
    <w:name w:val="Style7"/>
    <w:basedOn w:val="1"/>
    <w:qFormat/>
    <w:uiPriority w:val="0"/>
    <w:pPr>
      <w:widowControl w:val="0"/>
      <w:autoSpaceDE w:val="0"/>
      <w:autoSpaceDN w:val="0"/>
      <w:adjustRightInd w:val="0"/>
    </w:pPr>
    <w:rPr>
      <w:rFonts w:eastAsia="Calibri"/>
    </w:rPr>
  </w:style>
  <w:style w:type="paragraph" w:customStyle="1" w:styleId="705">
    <w:name w:val="Style5"/>
    <w:basedOn w:val="1"/>
    <w:qFormat/>
    <w:uiPriority w:val="0"/>
    <w:pPr>
      <w:widowControl w:val="0"/>
      <w:autoSpaceDE w:val="0"/>
      <w:autoSpaceDN w:val="0"/>
      <w:adjustRightInd w:val="0"/>
      <w:spacing w:line="274" w:lineRule="exact"/>
    </w:pPr>
    <w:rPr>
      <w:rFonts w:eastAsia="Calibri"/>
    </w:rPr>
  </w:style>
  <w:style w:type="character" w:customStyle="1" w:styleId="706">
    <w:name w:val="Font Style12"/>
    <w:uiPriority w:val="99"/>
    <w:rPr>
      <w:rFonts w:ascii="Times New Roman" w:hAnsi="Times New Roman" w:cs="Times New Roman"/>
      <w:sz w:val="16"/>
      <w:szCs w:val="16"/>
    </w:rPr>
  </w:style>
  <w:style w:type="paragraph" w:customStyle="1" w:styleId="707">
    <w:name w:val="Style8"/>
    <w:basedOn w:val="1"/>
    <w:qFormat/>
    <w:uiPriority w:val="0"/>
    <w:pPr>
      <w:widowControl w:val="0"/>
      <w:autoSpaceDE w:val="0"/>
      <w:autoSpaceDN w:val="0"/>
      <w:adjustRightInd w:val="0"/>
    </w:pPr>
    <w:rPr>
      <w:rFonts w:eastAsia="Calibri"/>
    </w:rPr>
  </w:style>
  <w:style w:type="paragraph" w:customStyle="1" w:styleId="708">
    <w:name w:val="Style6"/>
    <w:basedOn w:val="1"/>
    <w:qFormat/>
    <w:uiPriority w:val="0"/>
    <w:pPr>
      <w:widowControl w:val="0"/>
      <w:autoSpaceDE w:val="0"/>
      <w:autoSpaceDN w:val="0"/>
      <w:adjustRightInd w:val="0"/>
    </w:pPr>
    <w:rPr>
      <w:rFonts w:eastAsia="Calibri"/>
    </w:rPr>
  </w:style>
  <w:style w:type="character" w:customStyle="1" w:styleId="709">
    <w:name w:val="Font Style21"/>
    <w:uiPriority w:val="0"/>
    <w:rPr>
      <w:rFonts w:ascii="Times New Roman" w:hAnsi="Times New Roman" w:cs="Times New Roman"/>
      <w:sz w:val="22"/>
      <w:szCs w:val="22"/>
    </w:rPr>
  </w:style>
  <w:style w:type="paragraph" w:customStyle="1" w:styleId="710">
    <w:name w:val="Style3"/>
    <w:basedOn w:val="1"/>
    <w:qFormat/>
    <w:uiPriority w:val="99"/>
    <w:pPr>
      <w:widowControl w:val="0"/>
      <w:autoSpaceDE w:val="0"/>
      <w:autoSpaceDN w:val="0"/>
      <w:adjustRightInd w:val="0"/>
    </w:pPr>
    <w:rPr>
      <w:rFonts w:eastAsia="Calibri"/>
    </w:rPr>
  </w:style>
  <w:style w:type="paragraph" w:customStyle="1" w:styleId="711">
    <w:name w:val="Style4"/>
    <w:basedOn w:val="1"/>
    <w:qFormat/>
    <w:uiPriority w:val="0"/>
    <w:pPr>
      <w:widowControl w:val="0"/>
      <w:autoSpaceDE w:val="0"/>
      <w:autoSpaceDN w:val="0"/>
      <w:adjustRightInd w:val="0"/>
      <w:spacing w:line="274" w:lineRule="exact"/>
      <w:jc w:val="both"/>
    </w:pPr>
    <w:rPr>
      <w:rFonts w:eastAsia="Calibri"/>
    </w:rPr>
  </w:style>
  <w:style w:type="paragraph" w:customStyle="1" w:styleId="712">
    <w:name w:val="Style10"/>
    <w:basedOn w:val="1"/>
    <w:qFormat/>
    <w:uiPriority w:val="0"/>
    <w:pPr>
      <w:widowControl w:val="0"/>
      <w:autoSpaceDE w:val="0"/>
      <w:autoSpaceDN w:val="0"/>
      <w:adjustRightInd w:val="0"/>
    </w:pPr>
    <w:rPr>
      <w:rFonts w:eastAsia="Calibri"/>
    </w:rPr>
  </w:style>
  <w:style w:type="paragraph" w:customStyle="1" w:styleId="713">
    <w:name w:val="Body Text Indent 21"/>
    <w:basedOn w:val="1"/>
    <w:qFormat/>
    <w:uiPriority w:val="0"/>
    <w:pPr>
      <w:overflowPunct w:val="0"/>
      <w:autoSpaceDE w:val="0"/>
      <w:autoSpaceDN w:val="0"/>
      <w:adjustRightInd w:val="0"/>
      <w:ind w:firstLine="851"/>
      <w:jc w:val="both"/>
      <w:textAlignment w:val="baseline"/>
    </w:pPr>
    <w:rPr>
      <w:rFonts w:eastAsia="Calibri"/>
      <w:sz w:val="28"/>
      <w:szCs w:val="20"/>
    </w:rPr>
  </w:style>
  <w:style w:type="character" w:customStyle="1" w:styleId="714">
    <w:name w:val="Основной текст Знак1"/>
    <w:uiPriority w:val="99"/>
    <w:rPr>
      <w:rFonts w:ascii="Times New Roman" w:hAnsi="Times New Roman" w:cs="Times New Roman"/>
      <w:spacing w:val="4"/>
      <w:shd w:val="clear" w:color="auto" w:fill="FFFFFF"/>
    </w:rPr>
  </w:style>
  <w:style w:type="character" w:customStyle="1" w:styleId="715">
    <w:name w:val="Основной текст (2)_"/>
    <w:link w:val="716"/>
    <w:uiPriority w:val="99"/>
    <w:rPr>
      <w:b/>
      <w:bCs/>
      <w:spacing w:val="10"/>
      <w:shd w:val="clear" w:color="auto" w:fill="FFFFFF"/>
    </w:rPr>
  </w:style>
  <w:style w:type="paragraph" w:customStyle="1" w:styleId="716">
    <w:name w:val="Основной текст (2)"/>
    <w:basedOn w:val="1"/>
    <w:link w:val="715"/>
    <w:qFormat/>
    <w:uiPriority w:val="99"/>
    <w:pPr>
      <w:widowControl w:val="0"/>
      <w:shd w:val="clear" w:color="auto" w:fill="FFFFFF"/>
      <w:spacing w:line="317" w:lineRule="exact"/>
      <w:jc w:val="both"/>
    </w:pPr>
    <w:rPr>
      <w:rFonts w:ascii="Calibri" w:hAnsi="Calibri" w:eastAsia="Calibri"/>
      <w:b/>
      <w:bCs/>
      <w:spacing w:val="10"/>
      <w:sz w:val="20"/>
      <w:szCs w:val="20"/>
    </w:rPr>
  </w:style>
  <w:style w:type="character" w:customStyle="1" w:styleId="717">
    <w:name w:val="Основной текст + Малые прописные"/>
    <w:uiPriority w:val="99"/>
    <w:rPr>
      <w:rFonts w:ascii="Times New Roman" w:hAnsi="Times New Roman" w:cs="Times New Roman"/>
      <w:smallCaps/>
      <w:spacing w:val="4"/>
      <w:u w:val="none"/>
      <w:shd w:val="clear" w:color="auto" w:fill="FFFFFF"/>
    </w:rPr>
  </w:style>
  <w:style w:type="character" w:customStyle="1" w:styleId="718">
    <w:name w:val="Основной текст + Интервал 0 pt"/>
    <w:uiPriority w:val="99"/>
    <w:rPr>
      <w:rFonts w:ascii="Times New Roman" w:hAnsi="Times New Roman" w:cs="Times New Roman"/>
      <w:spacing w:val="2"/>
      <w:u w:val="none"/>
      <w:shd w:val="clear" w:color="auto" w:fill="FFFFFF"/>
    </w:rPr>
  </w:style>
  <w:style w:type="character" w:customStyle="1" w:styleId="719">
    <w:name w:val="style7"/>
    <w:basedOn w:val="88"/>
    <w:uiPriority w:val="0"/>
  </w:style>
  <w:style w:type="paragraph" w:customStyle="1" w:styleId="720">
    <w:name w:val="Содержание - Уровень 3"/>
    <w:basedOn w:val="154"/>
    <w:link w:val="721"/>
    <w:qFormat/>
    <w:uiPriority w:val="0"/>
    <w:pPr>
      <w:spacing w:before="120" w:after="120"/>
      <w:ind w:left="0" w:firstLine="709"/>
      <w:jc w:val="both"/>
      <w:outlineLvl w:val="2"/>
    </w:pPr>
    <w:rPr>
      <w:rFonts w:ascii="Cambria" w:hAnsi="Cambria"/>
      <w:b/>
      <w:sz w:val="28"/>
      <w:szCs w:val="28"/>
      <w:lang w:val="en-US" w:eastAsia="en-US"/>
    </w:rPr>
  </w:style>
  <w:style w:type="character" w:customStyle="1" w:styleId="721">
    <w:name w:val="Содержание - Уровень 3 Знак"/>
    <w:link w:val="720"/>
    <w:uiPriority w:val="0"/>
    <w:rPr>
      <w:rFonts w:ascii="Cambria" w:hAnsi="Cambria" w:eastAsia="Times New Roman"/>
      <w:b/>
      <w:sz w:val="28"/>
      <w:szCs w:val="28"/>
      <w:lang w:val="en-US" w:eastAsia="en-US"/>
    </w:rPr>
  </w:style>
  <w:style w:type="paragraph" w:customStyle="1" w:styleId="722">
    <w:name w:val="Обычный5"/>
    <w:qFormat/>
    <w:uiPriority w:val="0"/>
    <w:pPr>
      <w:widowControl w:val="0"/>
    </w:pPr>
    <w:rPr>
      <w:rFonts w:ascii="Arial" w:hAnsi="Arial" w:eastAsia="Times New Roman" w:cs="Times New Roman"/>
      <w:snapToGrid w:val="0"/>
      <w:lang w:val="ru-RU" w:eastAsia="ru-RU" w:bidi="ar-SA"/>
    </w:rPr>
  </w:style>
  <w:style w:type="paragraph" w:customStyle="1" w:styleId="723">
    <w:name w:val="xl147"/>
    <w:basedOn w:val="1"/>
    <w:qFormat/>
    <w:uiPriority w:val="0"/>
    <w:pPr>
      <w:pBdr>
        <w:top w:val="single" w:color="auto" w:sz="4" w:space="0"/>
        <w:bottom w:val="single" w:color="auto" w:sz="8" w:space="0"/>
        <w:right w:val="single" w:color="auto" w:sz="4" w:space="0"/>
      </w:pBdr>
      <w:shd w:val="clear" w:color="000000" w:fill="FFFFCC"/>
      <w:spacing w:before="100" w:beforeAutospacing="1" w:after="100" w:afterAutospacing="1"/>
      <w:jc w:val="center"/>
      <w:textAlignment w:val="center"/>
    </w:pPr>
    <w:rPr>
      <w:color w:val="000000"/>
    </w:rPr>
  </w:style>
  <w:style w:type="paragraph" w:customStyle="1" w:styleId="724">
    <w:name w:val="xl148"/>
    <w:basedOn w:val="1"/>
    <w:qFormat/>
    <w:uiPriority w:val="0"/>
    <w:pPr>
      <w:pBdr>
        <w:bottom w:val="single" w:color="auto" w:sz="4" w:space="0"/>
        <w:right w:val="single" w:color="auto" w:sz="4" w:space="0"/>
      </w:pBdr>
      <w:shd w:val="clear" w:color="000000" w:fill="FFFFCC"/>
      <w:spacing w:before="100" w:beforeAutospacing="1" w:after="100" w:afterAutospacing="1"/>
      <w:textAlignment w:val="center"/>
    </w:pPr>
    <w:rPr>
      <w:b/>
      <w:bCs/>
      <w:color w:val="000000"/>
    </w:rPr>
  </w:style>
  <w:style w:type="paragraph" w:customStyle="1" w:styleId="725">
    <w:name w:val="xl149"/>
    <w:basedOn w:val="1"/>
    <w:qFormat/>
    <w:uiPriority w:val="0"/>
    <w:pPr>
      <w:pBdr>
        <w:top w:val="single" w:color="auto" w:sz="4" w:space="0"/>
        <w:right w:val="single" w:color="auto" w:sz="4" w:space="0"/>
      </w:pBdr>
      <w:shd w:val="clear" w:color="000000" w:fill="FFFFCC"/>
      <w:spacing w:before="100" w:beforeAutospacing="1" w:after="100" w:afterAutospacing="1"/>
      <w:textAlignment w:val="center"/>
    </w:pPr>
    <w:rPr>
      <w:color w:val="000000"/>
    </w:rPr>
  </w:style>
  <w:style w:type="paragraph" w:customStyle="1" w:styleId="726">
    <w:name w:val="xl150"/>
    <w:basedOn w:val="1"/>
    <w:qFormat/>
    <w:uiPriority w:val="0"/>
    <w:pPr>
      <w:pBdr>
        <w:top w:val="single" w:color="auto" w:sz="4" w:space="0"/>
        <w:bottom w:val="single" w:color="auto" w:sz="4" w:space="0"/>
        <w:right w:val="single" w:color="auto" w:sz="4" w:space="0"/>
      </w:pBdr>
      <w:shd w:val="clear" w:color="000000" w:fill="FFFFCC"/>
      <w:spacing w:before="100" w:beforeAutospacing="1" w:after="100" w:afterAutospacing="1"/>
      <w:jc w:val="right"/>
      <w:textAlignment w:val="center"/>
    </w:pPr>
    <w:rPr>
      <w:b/>
      <w:bCs/>
      <w:color w:val="000000"/>
    </w:rPr>
  </w:style>
  <w:style w:type="paragraph" w:customStyle="1" w:styleId="727">
    <w:name w:val="xl151"/>
    <w:basedOn w:val="1"/>
    <w:qFormat/>
    <w:uiPriority w:val="0"/>
    <w:pPr>
      <w:pBdr>
        <w:top w:val="single" w:color="auto" w:sz="4" w:space="0"/>
        <w:bottom w:val="single" w:color="auto" w:sz="4" w:space="0"/>
        <w:right w:val="single" w:color="auto" w:sz="4" w:space="0"/>
      </w:pBdr>
      <w:shd w:val="clear" w:color="000000" w:fill="FFFFCC"/>
      <w:spacing w:before="100" w:beforeAutospacing="1" w:after="100" w:afterAutospacing="1"/>
      <w:jc w:val="right"/>
      <w:textAlignment w:val="center"/>
    </w:pPr>
    <w:rPr>
      <w:color w:val="000000"/>
    </w:rPr>
  </w:style>
  <w:style w:type="paragraph" w:customStyle="1" w:styleId="728">
    <w:name w:val="xl152"/>
    <w:basedOn w:val="1"/>
    <w:qFormat/>
    <w:uiPriority w:val="0"/>
    <w:pPr>
      <w:pBdr>
        <w:top w:val="single" w:color="auto" w:sz="4" w:space="0"/>
        <w:bottom w:val="single" w:color="auto" w:sz="8" w:space="0"/>
        <w:right w:val="single" w:color="auto" w:sz="4" w:space="0"/>
      </w:pBdr>
      <w:shd w:val="clear" w:color="000000" w:fill="FFFFCC"/>
      <w:spacing w:before="100" w:beforeAutospacing="1" w:after="100" w:afterAutospacing="1"/>
      <w:textAlignment w:val="center"/>
    </w:pPr>
    <w:rPr>
      <w:color w:val="000000"/>
    </w:rPr>
  </w:style>
  <w:style w:type="paragraph" w:customStyle="1" w:styleId="729">
    <w:name w:val="xl153"/>
    <w:basedOn w:val="1"/>
    <w:qFormat/>
    <w:uiPriority w:val="0"/>
    <w:pPr>
      <w:pBdr>
        <w:top w:val="single" w:color="auto" w:sz="4" w:space="0"/>
        <w:left w:val="single" w:color="auto" w:sz="4" w:space="0"/>
        <w:bottom w:val="single" w:color="auto" w:sz="8" w:space="0"/>
        <w:right w:val="single" w:color="auto" w:sz="8" w:space="0"/>
      </w:pBdr>
      <w:shd w:val="clear" w:color="000000" w:fill="CCFF99"/>
      <w:spacing w:before="100" w:beforeAutospacing="1" w:after="100" w:afterAutospacing="1"/>
      <w:jc w:val="center"/>
      <w:textAlignment w:val="center"/>
    </w:pPr>
    <w:rPr>
      <w:color w:val="000000"/>
    </w:rPr>
  </w:style>
  <w:style w:type="paragraph" w:customStyle="1" w:styleId="730">
    <w:name w:val="xl154"/>
    <w:basedOn w:val="1"/>
    <w:qFormat/>
    <w:uiPriority w:val="0"/>
    <w:pPr>
      <w:pBdr>
        <w:top w:val="single" w:color="auto" w:sz="4" w:space="0"/>
        <w:left w:val="single" w:color="auto" w:sz="4" w:space="0"/>
        <w:bottom w:val="single" w:color="auto" w:sz="4" w:space="0"/>
        <w:right w:val="single" w:color="auto" w:sz="8" w:space="0"/>
      </w:pBdr>
      <w:shd w:val="clear" w:color="000000" w:fill="CCFF99"/>
      <w:spacing w:before="100" w:beforeAutospacing="1" w:after="100" w:afterAutospacing="1"/>
      <w:textAlignment w:val="center"/>
    </w:pPr>
    <w:rPr>
      <w:b/>
      <w:bCs/>
      <w:color w:val="000000"/>
    </w:rPr>
  </w:style>
  <w:style w:type="paragraph" w:customStyle="1" w:styleId="731">
    <w:name w:val="xl155"/>
    <w:basedOn w:val="1"/>
    <w:qFormat/>
    <w:uiPriority w:val="0"/>
    <w:pPr>
      <w:pBdr>
        <w:top w:val="single" w:color="auto" w:sz="8" w:space="0"/>
        <w:bottom w:val="single" w:color="auto" w:sz="4" w:space="0"/>
        <w:right w:val="single" w:color="auto" w:sz="4" w:space="0"/>
      </w:pBdr>
      <w:shd w:val="clear" w:color="000000" w:fill="FFFFCC"/>
      <w:spacing w:before="100" w:beforeAutospacing="1" w:after="100" w:afterAutospacing="1"/>
      <w:textAlignment w:val="center"/>
    </w:pPr>
    <w:rPr>
      <w:b/>
      <w:bCs/>
      <w:color w:val="000000"/>
    </w:rPr>
  </w:style>
  <w:style w:type="paragraph" w:customStyle="1" w:styleId="732">
    <w:name w:val="xl156"/>
    <w:basedOn w:val="1"/>
    <w:qFormat/>
    <w:uiPriority w:val="0"/>
    <w:pPr>
      <w:pBdr>
        <w:top w:val="single" w:color="auto" w:sz="8" w:space="0"/>
        <w:left w:val="single" w:color="auto" w:sz="4" w:space="0"/>
        <w:bottom w:val="single" w:color="auto" w:sz="4" w:space="0"/>
        <w:right w:val="single" w:color="auto" w:sz="8" w:space="0"/>
      </w:pBdr>
      <w:shd w:val="clear" w:color="000000" w:fill="F2F2F2"/>
      <w:spacing w:before="100" w:beforeAutospacing="1" w:after="100" w:afterAutospacing="1"/>
      <w:textAlignment w:val="center"/>
    </w:pPr>
    <w:rPr>
      <w:b/>
      <w:bCs/>
    </w:rPr>
  </w:style>
  <w:style w:type="paragraph" w:customStyle="1" w:styleId="733">
    <w:name w:val="xl15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style>
  <w:style w:type="paragraph" w:customStyle="1" w:styleId="734">
    <w:name w:val="xl158"/>
    <w:basedOn w:val="1"/>
    <w:qFormat/>
    <w:uiPriority w:val="0"/>
    <w:pPr>
      <w:pBdr>
        <w:top w:val="single" w:color="auto" w:sz="4" w:space="0"/>
        <w:left w:val="single" w:color="auto" w:sz="4" w:space="0"/>
        <w:bottom w:val="single" w:color="auto" w:sz="4" w:space="0"/>
        <w:right w:val="single" w:color="auto" w:sz="8" w:space="0"/>
      </w:pBdr>
      <w:shd w:val="clear" w:color="000000" w:fill="FFCCFF"/>
      <w:spacing w:before="100" w:beforeAutospacing="1" w:after="100" w:afterAutospacing="1"/>
      <w:textAlignment w:val="center"/>
    </w:pPr>
    <w:rPr>
      <w:b/>
      <w:bCs/>
    </w:rPr>
  </w:style>
  <w:style w:type="paragraph" w:customStyle="1" w:styleId="735">
    <w:name w:val="xl159"/>
    <w:basedOn w:val="1"/>
    <w:qFormat/>
    <w:uiPriority w:val="0"/>
    <w:pPr>
      <w:pBdr>
        <w:top w:val="single" w:color="auto" w:sz="4" w:space="0"/>
        <w:left w:val="single" w:color="auto" w:sz="8" w:space="0"/>
        <w:bottom w:val="single" w:color="auto" w:sz="4" w:space="0"/>
        <w:right w:val="single" w:color="auto" w:sz="4" w:space="0"/>
      </w:pBdr>
      <w:shd w:val="clear" w:color="000000" w:fill="FF99CC"/>
      <w:spacing w:before="100" w:beforeAutospacing="1" w:after="100" w:afterAutospacing="1"/>
      <w:jc w:val="center"/>
      <w:textAlignment w:val="center"/>
    </w:pPr>
    <w:rPr>
      <w:b/>
      <w:bCs/>
    </w:rPr>
  </w:style>
  <w:style w:type="paragraph" w:customStyle="1" w:styleId="736">
    <w:name w:val="xl160"/>
    <w:basedOn w:val="1"/>
    <w:qFormat/>
    <w:uiPriority w:val="0"/>
    <w:pPr>
      <w:pBdr>
        <w:top w:val="single" w:color="auto" w:sz="4" w:space="0"/>
        <w:left w:val="single" w:color="auto" w:sz="4" w:space="0"/>
        <w:bottom w:val="single" w:color="auto" w:sz="4" w:space="0"/>
        <w:right w:val="single" w:color="auto" w:sz="8" w:space="0"/>
      </w:pBdr>
      <w:shd w:val="clear" w:color="000000" w:fill="FF99CC"/>
      <w:spacing w:before="100" w:beforeAutospacing="1" w:after="100" w:afterAutospacing="1"/>
      <w:textAlignment w:val="center"/>
    </w:pPr>
    <w:rPr>
      <w:b/>
      <w:bCs/>
    </w:rPr>
  </w:style>
  <w:style w:type="paragraph" w:customStyle="1" w:styleId="737">
    <w:name w:val="xl161"/>
    <w:basedOn w:val="1"/>
    <w:qFormat/>
    <w:uiPriority w:val="0"/>
    <w:pPr>
      <w:pBdr>
        <w:top w:val="single" w:color="auto" w:sz="4" w:space="0"/>
        <w:left w:val="single" w:color="auto" w:sz="8" w:space="0"/>
        <w:bottom w:val="single" w:color="auto" w:sz="4" w:space="0"/>
        <w:right w:val="single" w:color="auto" w:sz="4" w:space="0"/>
      </w:pBdr>
      <w:shd w:val="clear" w:color="000000" w:fill="FFFF00"/>
      <w:spacing w:before="100" w:beforeAutospacing="1" w:after="100" w:afterAutospacing="1"/>
      <w:jc w:val="center"/>
      <w:textAlignment w:val="center"/>
    </w:pPr>
    <w:rPr>
      <w:b/>
      <w:bCs/>
    </w:rPr>
  </w:style>
  <w:style w:type="paragraph" w:customStyle="1" w:styleId="738">
    <w:name w:val="xl162"/>
    <w:basedOn w:val="1"/>
    <w:qFormat/>
    <w:uiPriority w:val="0"/>
    <w:pPr>
      <w:pBdr>
        <w:top w:val="single" w:color="auto" w:sz="4" w:space="0"/>
        <w:left w:val="single" w:color="auto" w:sz="4" w:space="0"/>
        <w:bottom w:val="single" w:color="auto" w:sz="4" w:space="0"/>
        <w:right w:val="single" w:color="auto" w:sz="8" w:space="0"/>
      </w:pBdr>
      <w:shd w:val="clear" w:color="000000" w:fill="FFFF00"/>
      <w:spacing w:before="100" w:beforeAutospacing="1" w:after="100" w:afterAutospacing="1"/>
      <w:textAlignment w:val="center"/>
    </w:pPr>
    <w:rPr>
      <w:b/>
      <w:bCs/>
    </w:rPr>
  </w:style>
  <w:style w:type="paragraph" w:customStyle="1" w:styleId="739">
    <w:name w:val="xl163"/>
    <w:basedOn w:val="1"/>
    <w:qFormat/>
    <w:uiPriority w:val="0"/>
    <w:pPr>
      <w:pBdr>
        <w:top w:val="single" w:color="auto" w:sz="4" w:space="0"/>
        <w:left w:val="single" w:color="auto" w:sz="8" w:space="0"/>
        <w:bottom w:val="single" w:color="auto" w:sz="4" w:space="0"/>
        <w:right w:val="single" w:color="auto" w:sz="4" w:space="0"/>
      </w:pBdr>
      <w:shd w:val="clear" w:color="000000" w:fill="F2F2F2"/>
      <w:spacing w:before="100" w:beforeAutospacing="1" w:after="100" w:afterAutospacing="1"/>
      <w:jc w:val="center"/>
      <w:textAlignment w:val="center"/>
    </w:pPr>
  </w:style>
  <w:style w:type="paragraph" w:customStyle="1" w:styleId="740">
    <w:name w:val="xl164"/>
    <w:basedOn w:val="1"/>
    <w:qFormat/>
    <w:uiPriority w:val="0"/>
    <w:pPr>
      <w:pBdr>
        <w:top w:val="single" w:color="auto" w:sz="4" w:space="0"/>
        <w:left w:val="single" w:color="auto" w:sz="4" w:space="0"/>
        <w:bottom w:val="single" w:color="auto" w:sz="4" w:space="0"/>
        <w:right w:val="single" w:color="auto" w:sz="8" w:space="0"/>
      </w:pBdr>
      <w:shd w:val="clear" w:color="000000" w:fill="F2F2F2"/>
      <w:spacing w:before="100" w:beforeAutospacing="1" w:after="100" w:afterAutospacing="1"/>
      <w:textAlignment w:val="center"/>
    </w:pPr>
  </w:style>
  <w:style w:type="paragraph" w:customStyle="1" w:styleId="741">
    <w:name w:val="xl165"/>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style>
  <w:style w:type="paragraph" w:customStyle="1" w:styleId="742">
    <w:name w:val="xl166"/>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style>
  <w:style w:type="paragraph" w:customStyle="1" w:styleId="743">
    <w:name w:val="xl167"/>
    <w:basedOn w:val="1"/>
    <w:qFormat/>
    <w:uiPriority w:val="0"/>
    <w:pPr>
      <w:pBdr>
        <w:top w:val="single" w:color="auto" w:sz="4" w:space="0"/>
        <w:left w:val="single" w:color="auto" w:sz="8" w:space="0"/>
        <w:bottom w:val="single" w:color="auto" w:sz="4" w:space="0"/>
        <w:right w:val="single" w:color="auto" w:sz="4" w:space="0"/>
      </w:pBdr>
      <w:shd w:val="clear" w:color="000000" w:fill="FFCCFF"/>
      <w:spacing w:before="100" w:beforeAutospacing="1" w:after="100" w:afterAutospacing="1"/>
      <w:jc w:val="center"/>
      <w:textAlignment w:val="center"/>
    </w:pPr>
  </w:style>
  <w:style w:type="paragraph" w:customStyle="1" w:styleId="744">
    <w:name w:val="xl168"/>
    <w:basedOn w:val="1"/>
    <w:qFormat/>
    <w:uiPriority w:val="0"/>
    <w:pPr>
      <w:pBdr>
        <w:top w:val="single" w:color="auto" w:sz="4" w:space="0"/>
        <w:left w:val="single" w:color="auto" w:sz="4" w:space="0"/>
        <w:bottom w:val="single" w:color="auto" w:sz="4" w:space="0"/>
        <w:right w:val="single" w:color="auto" w:sz="8" w:space="0"/>
      </w:pBdr>
      <w:shd w:val="clear" w:color="000000" w:fill="FFCCFF"/>
      <w:spacing w:before="100" w:beforeAutospacing="1" w:after="100" w:afterAutospacing="1"/>
      <w:textAlignment w:val="center"/>
    </w:pPr>
  </w:style>
  <w:style w:type="paragraph" w:customStyle="1" w:styleId="745">
    <w:name w:val="xl169"/>
    <w:basedOn w:val="1"/>
    <w:qFormat/>
    <w:uiPriority w:val="0"/>
    <w:pPr>
      <w:pBdr>
        <w:top w:val="single" w:color="auto" w:sz="4" w:space="0"/>
        <w:left w:val="single" w:color="auto" w:sz="8" w:space="0"/>
        <w:bottom w:val="single" w:color="auto" w:sz="4" w:space="0"/>
        <w:right w:val="single" w:color="auto" w:sz="4" w:space="0"/>
      </w:pBdr>
      <w:shd w:val="clear" w:color="000000" w:fill="B6DDE8"/>
      <w:spacing w:before="100" w:beforeAutospacing="1" w:after="100" w:afterAutospacing="1"/>
      <w:jc w:val="center"/>
      <w:textAlignment w:val="center"/>
    </w:pPr>
  </w:style>
  <w:style w:type="paragraph" w:customStyle="1" w:styleId="746">
    <w:name w:val="xl170"/>
    <w:basedOn w:val="1"/>
    <w:qFormat/>
    <w:uiPriority w:val="0"/>
    <w:pPr>
      <w:pBdr>
        <w:top w:val="single" w:color="auto" w:sz="4" w:space="0"/>
        <w:left w:val="single" w:color="auto" w:sz="4" w:space="0"/>
        <w:bottom w:val="single" w:color="auto" w:sz="4" w:space="0"/>
        <w:right w:val="single" w:color="auto" w:sz="8" w:space="0"/>
      </w:pBdr>
      <w:shd w:val="clear" w:color="000000" w:fill="B6DDE8"/>
      <w:spacing w:before="100" w:beforeAutospacing="1" w:after="100" w:afterAutospacing="1"/>
      <w:textAlignment w:val="center"/>
    </w:pPr>
  </w:style>
  <w:style w:type="paragraph" w:customStyle="1" w:styleId="747">
    <w:name w:val="xl171"/>
    <w:basedOn w:val="1"/>
    <w:qFormat/>
    <w:uiPriority w:val="0"/>
    <w:pPr>
      <w:pBdr>
        <w:top w:val="single" w:color="auto" w:sz="4" w:space="0"/>
        <w:left w:val="single" w:color="auto" w:sz="8" w:space="0"/>
        <w:bottom w:val="single" w:color="auto" w:sz="8" w:space="0"/>
        <w:right w:val="single" w:color="auto" w:sz="4" w:space="0"/>
      </w:pBdr>
      <w:shd w:val="clear" w:color="000000" w:fill="FFCCFF"/>
      <w:spacing w:before="100" w:beforeAutospacing="1" w:after="100" w:afterAutospacing="1"/>
      <w:jc w:val="center"/>
      <w:textAlignment w:val="center"/>
    </w:pPr>
  </w:style>
  <w:style w:type="paragraph" w:customStyle="1" w:styleId="748">
    <w:name w:val="xl172"/>
    <w:basedOn w:val="1"/>
    <w:qFormat/>
    <w:uiPriority w:val="0"/>
    <w:pPr>
      <w:pBdr>
        <w:top w:val="single" w:color="auto" w:sz="4" w:space="0"/>
        <w:left w:val="single" w:color="auto" w:sz="4" w:space="0"/>
        <w:bottom w:val="single" w:color="auto" w:sz="8" w:space="0"/>
        <w:right w:val="single" w:color="auto" w:sz="8" w:space="0"/>
      </w:pBdr>
      <w:shd w:val="clear" w:color="000000" w:fill="FFCCFF"/>
      <w:spacing w:before="100" w:beforeAutospacing="1" w:after="100" w:afterAutospacing="1"/>
      <w:textAlignment w:val="center"/>
    </w:pPr>
  </w:style>
  <w:style w:type="paragraph" w:customStyle="1" w:styleId="749">
    <w:name w:val="xl173"/>
    <w:basedOn w:val="1"/>
    <w:qFormat/>
    <w:uiPriority w:val="0"/>
    <w:pPr>
      <w:pBdr>
        <w:top w:val="single" w:color="auto" w:sz="8" w:space="0"/>
        <w:left w:val="single" w:color="auto" w:sz="4" w:space="0"/>
        <w:right w:val="single" w:color="auto" w:sz="8" w:space="0"/>
      </w:pBdr>
      <w:shd w:val="clear" w:color="000000" w:fill="D8D8D8"/>
      <w:spacing w:before="100" w:beforeAutospacing="1" w:after="100" w:afterAutospacing="1"/>
      <w:jc w:val="center"/>
      <w:textAlignment w:val="center"/>
    </w:pPr>
    <w:rPr>
      <w:color w:val="000000"/>
    </w:rPr>
  </w:style>
  <w:style w:type="paragraph" w:customStyle="1" w:styleId="750">
    <w:name w:val="xl174"/>
    <w:basedOn w:val="1"/>
    <w:qFormat/>
    <w:uiPriority w:val="0"/>
    <w:pPr>
      <w:pBdr>
        <w:left w:val="single" w:color="auto" w:sz="4" w:space="0"/>
        <w:right w:val="single" w:color="auto" w:sz="8" w:space="0"/>
      </w:pBdr>
      <w:shd w:val="clear" w:color="000000" w:fill="D8D8D8"/>
      <w:spacing w:before="100" w:beforeAutospacing="1" w:after="100" w:afterAutospacing="1"/>
      <w:jc w:val="center"/>
      <w:textAlignment w:val="center"/>
    </w:pPr>
    <w:rPr>
      <w:color w:val="000000"/>
    </w:rPr>
  </w:style>
  <w:style w:type="paragraph" w:customStyle="1" w:styleId="751">
    <w:name w:val="xl175"/>
    <w:basedOn w:val="1"/>
    <w:qFormat/>
    <w:uiPriority w:val="0"/>
    <w:pPr>
      <w:pBdr>
        <w:top w:val="single" w:color="auto" w:sz="8" w:space="0"/>
        <w:left w:val="single" w:color="auto" w:sz="8" w:space="0"/>
        <w:right w:val="single" w:color="auto" w:sz="4" w:space="0"/>
      </w:pBdr>
      <w:shd w:val="clear" w:color="000000" w:fill="D8D8D8"/>
      <w:spacing w:before="100" w:beforeAutospacing="1" w:after="100" w:afterAutospacing="1"/>
      <w:jc w:val="center"/>
      <w:textAlignment w:val="center"/>
    </w:pPr>
    <w:rPr>
      <w:color w:val="000000"/>
    </w:rPr>
  </w:style>
  <w:style w:type="paragraph" w:customStyle="1" w:styleId="752">
    <w:name w:val="xl176"/>
    <w:basedOn w:val="1"/>
    <w:qFormat/>
    <w:uiPriority w:val="0"/>
    <w:pPr>
      <w:pBdr>
        <w:left w:val="single" w:color="auto" w:sz="8" w:space="0"/>
        <w:right w:val="single" w:color="auto" w:sz="4" w:space="0"/>
      </w:pBdr>
      <w:shd w:val="clear" w:color="000000" w:fill="D8D8D8"/>
      <w:spacing w:before="100" w:beforeAutospacing="1" w:after="100" w:afterAutospacing="1"/>
      <w:jc w:val="center"/>
      <w:textAlignment w:val="center"/>
    </w:pPr>
    <w:rPr>
      <w:color w:val="000000"/>
    </w:rPr>
  </w:style>
  <w:style w:type="paragraph" w:customStyle="1" w:styleId="753">
    <w:name w:val="xl177"/>
    <w:basedOn w:val="1"/>
    <w:qFormat/>
    <w:uiPriority w:val="0"/>
    <w:pPr>
      <w:pBdr>
        <w:top w:val="single" w:color="auto" w:sz="8" w:space="0"/>
        <w:left w:val="single" w:color="auto" w:sz="4" w:space="0"/>
        <w:bottom w:val="single" w:color="auto" w:sz="4" w:space="0"/>
        <w:right w:val="single" w:color="auto" w:sz="8" w:space="0"/>
      </w:pBdr>
      <w:shd w:val="clear" w:color="000000" w:fill="D8D8D8"/>
      <w:spacing w:before="100" w:beforeAutospacing="1" w:after="100" w:afterAutospacing="1"/>
      <w:jc w:val="center"/>
      <w:textAlignment w:val="center"/>
    </w:pPr>
    <w:rPr>
      <w:color w:val="000000"/>
    </w:rPr>
  </w:style>
  <w:style w:type="paragraph" w:customStyle="1" w:styleId="754">
    <w:name w:val="xl178"/>
    <w:basedOn w:val="1"/>
    <w:qFormat/>
    <w:uiPriority w:val="0"/>
    <w:pPr>
      <w:pBdr>
        <w:top w:val="single" w:color="auto" w:sz="8" w:space="0"/>
        <w:bottom w:val="single" w:color="auto" w:sz="4" w:space="0"/>
        <w:right w:val="single" w:color="auto" w:sz="4" w:space="0"/>
      </w:pBdr>
      <w:shd w:val="clear" w:color="000000" w:fill="D8D8D8"/>
      <w:spacing w:before="100" w:beforeAutospacing="1" w:after="100" w:afterAutospacing="1"/>
      <w:jc w:val="center"/>
      <w:textAlignment w:val="center"/>
    </w:pPr>
    <w:rPr>
      <w:color w:val="000000"/>
    </w:rPr>
  </w:style>
  <w:style w:type="paragraph" w:customStyle="1" w:styleId="755">
    <w:name w:val="xl179"/>
    <w:basedOn w:val="1"/>
    <w:qFormat/>
    <w:uiPriority w:val="0"/>
    <w:pPr>
      <w:pBdr>
        <w:top w:val="single" w:color="auto" w:sz="8" w:space="0"/>
        <w:left w:val="single" w:color="auto" w:sz="4" w:space="0"/>
        <w:bottom w:val="single" w:color="auto" w:sz="4" w:space="0"/>
        <w:right w:val="single" w:color="auto" w:sz="4" w:space="0"/>
      </w:pBdr>
      <w:shd w:val="clear" w:color="000000" w:fill="D8D8D8"/>
      <w:spacing w:before="100" w:beforeAutospacing="1" w:after="100" w:afterAutospacing="1"/>
      <w:jc w:val="center"/>
      <w:textAlignment w:val="center"/>
    </w:pPr>
    <w:rPr>
      <w:color w:val="000000"/>
    </w:rPr>
  </w:style>
  <w:style w:type="paragraph" w:customStyle="1" w:styleId="756">
    <w:name w:val="xl180"/>
    <w:basedOn w:val="1"/>
    <w:qFormat/>
    <w:uiPriority w:val="0"/>
    <w:pPr>
      <w:pBdr>
        <w:top w:val="single" w:color="auto" w:sz="8" w:space="0"/>
        <w:left w:val="single" w:color="auto" w:sz="4" w:space="0"/>
        <w:bottom w:val="single" w:color="auto" w:sz="4" w:space="0"/>
        <w:right w:val="single" w:color="auto" w:sz="12" w:space="0"/>
      </w:pBdr>
      <w:shd w:val="clear" w:color="000000" w:fill="D8D8D8"/>
      <w:spacing w:before="100" w:beforeAutospacing="1" w:after="100" w:afterAutospacing="1"/>
      <w:jc w:val="center"/>
      <w:textAlignment w:val="center"/>
    </w:pPr>
    <w:rPr>
      <w:color w:val="000000"/>
    </w:rPr>
  </w:style>
  <w:style w:type="paragraph" w:customStyle="1" w:styleId="757">
    <w:name w:val="xl181"/>
    <w:basedOn w:val="1"/>
    <w:qFormat/>
    <w:uiPriority w:val="0"/>
    <w:pPr>
      <w:pBdr>
        <w:top w:val="single" w:color="auto" w:sz="8" w:space="0"/>
        <w:left w:val="single" w:color="auto" w:sz="8" w:space="0"/>
        <w:bottom w:val="single" w:color="auto" w:sz="4" w:space="0"/>
        <w:right w:val="single" w:color="auto" w:sz="4" w:space="0"/>
      </w:pBdr>
      <w:shd w:val="clear" w:color="000000" w:fill="FFFFCC"/>
      <w:spacing w:before="100" w:beforeAutospacing="1" w:after="100" w:afterAutospacing="1"/>
      <w:jc w:val="center"/>
      <w:textAlignment w:val="center"/>
    </w:pPr>
    <w:rPr>
      <w:color w:val="000000"/>
    </w:rPr>
  </w:style>
  <w:style w:type="paragraph" w:customStyle="1" w:styleId="758">
    <w:name w:val="xl182"/>
    <w:basedOn w:val="1"/>
    <w:qFormat/>
    <w:uiPriority w:val="0"/>
    <w:pPr>
      <w:pBdr>
        <w:top w:val="single" w:color="auto" w:sz="4" w:space="0"/>
        <w:left w:val="single" w:color="auto" w:sz="8" w:space="0"/>
        <w:bottom w:val="single" w:color="auto" w:sz="4" w:space="0"/>
        <w:right w:val="single" w:color="auto" w:sz="4" w:space="0"/>
      </w:pBdr>
      <w:shd w:val="clear" w:color="000000" w:fill="FFFFCC"/>
      <w:spacing w:before="100" w:beforeAutospacing="1" w:after="100" w:afterAutospacing="1"/>
      <w:jc w:val="center"/>
      <w:textAlignment w:val="center"/>
    </w:pPr>
  </w:style>
  <w:style w:type="paragraph" w:customStyle="1" w:styleId="759">
    <w:name w:val="xl183"/>
    <w:basedOn w:val="1"/>
    <w:qFormat/>
    <w:uiPriority w:val="0"/>
    <w:pPr>
      <w:pBdr>
        <w:top w:val="single" w:color="auto" w:sz="8" w:space="0"/>
        <w:left w:val="single" w:color="auto" w:sz="4" w:space="0"/>
        <w:bottom w:val="single" w:color="auto" w:sz="4" w:space="0"/>
        <w:right w:val="single" w:color="auto" w:sz="4" w:space="0"/>
      </w:pBdr>
      <w:shd w:val="clear" w:color="000000" w:fill="FFCC99"/>
      <w:spacing w:before="100" w:beforeAutospacing="1" w:after="100" w:afterAutospacing="1"/>
      <w:jc w:val="center"/>
      <w:textAlignment w:val="center"/>
    </w:pPr>
    <w:rPr>
      <w:color w:val="000000"/>
    </w:rPr>
  </w:style>
  <w:style w:type="paragraph" w:customStyle="1" w:styleId="760">
    <w:name w:val="xl184"/>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textAlignment w:val="center"/>
    </w:pPr>
  </w:style>
  <w:style w:type="paragraph" w:customStyle="1" w:styleId="761">
    <w:name w:val="xl185"/>
    <w:basedOn w:val="1"/>
    <w:qFormat/>
    <w:uiPriority w:val="0"/>
    <w:pPr>
      <w:pBdr>
        <w:top w:val="single" w:color="auto" w:sz="8" w:space="0"/>
        <w:left w:val="single" w:color="auto" w:sz="4" w:space="0"/>
        <w:bottom w:val="single" w:color="auto" w:sz="4" w:space="0"/>
        <w:right w:val="single" w:color="auto" w:sz="4" w:space="0"/>
      </w:pBdr>
      <w:shd w:val="clear" w:color="000000" w:fill="CCFF99"/>
      <w:spacing w:before="100" w:beforeAutospacing="1" w:after="100" w:afterAutospacing="1"/>
      <w:jc w:val="center"/>
      <w:textAlignment w:val="center"/>
    </w:pPr>
    <w:rPr>
      <w:color w:val="000000"/>
    </w:rPr>
  </w:style>
  <w:style w:type="paragraph" w:customStyle="1" w:styleId="762">
    <w:name w:val="xl186"/>
    <w:basedOn w:val="1"/>
    <w:qFormat/>
    <w:uiPriority w:val="0"/>
    <w:pPr>
      <w:pBdr>
        <w:top w:val="single" w:color="auto" w:sz="4" w:space="0"/>
        <w:left w:val="single" w:color="auto" w:sz="4" w:space="0"/>
        <w:bottom w:val="single" w:color="auto" w:sz="4" w:space="0"/>
        <w:right w:val="single" w:color="auto" w:sz="4" w:space="0"/>
      </w:pBdr>
      <w:shd w:val="clear" w:color="000000" w:fill="CCFF99"/>
      <w:spacing w:before="100" w:beforeAutospacing="1" w:after="100" w:afterAutospacing="1"/>
      <w:jc w:val="center"/>
      <w:textAlignment w:val="center"/>
    </w:pPr>
    <w:rPr>
      <w:color w:val="000000"/>
    </w:rPr>
  </w:style>
  <w:style w:type="paragraph" w:customStyle="1" w:styleId="763">
    <w:name w:val="Обычный6"/>
    <w:qFormat/>
    <w:uiPriority w:val="0"/>
    <w:pPr>
      <w:widowControl w:val="0"/>
      <w:spacing w:line="360" w:lineRule="auto"/>
      <w:ind w:left="40" w:firstLine="1440"/>
      <w:jc w:val="both"/>
    </w:pPr>
    <w:rPr>
      <w:rFonts w:ascii="Arial" w:hAnsi="Arial" w:eastAsia="Times New Roman" w:cs="Times New Roman"/>
      <w:snapToGrid w:val="0"/>
      <w:sz w:val="48"/>
      <w:lang w:val="ru-RU" w:eastAsia="ru-RU" w:bidi="ar-SA"/>
    </w:rPr>
  </w:style>
  <w:style w:type="paragraph" w:customStyle="1" w:styleId="764">
    <w:name w:val="заголовок 1"/>
    <w:basedOn w:val="1"/>
    <w:next w:val="1"/>
    <w:qFormat/>
    <w:uiPriority w:val="0"/>
    <w:pPr>
      <w:keepNext/>
      <w:widowControl w:val="0"/>
      <w:overflowPunct w:val="0"/>
      <w:autoSpaceDE w:val="0"/>
      <w:autoSpaceDN w:val="0"/>
      <w:adjustRightInd w:val="0"/>
      <w:jc w:val="center"/>
      <w:textAlignment w:val="baseline"/>
    </w:pPr>
    <w:rPr>
      <w:rFonts w:ascii="Arial" w:hAnsi="Arial"/>
      <w:szCs w:val="20"/>
    </w:rPr>
  </w:style>
  <w:style w:type="paragraph" w:customStyle="1" w:styleId="765">
    <w:name w:val="заголовок 2"/>
    <w:basedOn w:val="1"/>
    <w:next w:val="1"/>
    <w:qFormat/>
    <w:uiPriority w:val="0"/>
    <w:pPr>
      <w:keepNext/>
      <w:widowControl w:val="0"/>
      <w:overflowPunct w:val="0"/>
      <w:autoSpaceDE w:val="0"/>
      <w:autoSpaceDN w:val="0"/>
      <w:adjustRightInd w:val="0"/>
      <w:jc w:val="right"/>
      <w:textAlignment w:val="baseline"/>
    </w:pPr>
    <w:rPr>
      <w:rFonts w:ascii="Arial" w:hAnsi="Arial"/>
      <w:szCs w:val="20"/>
    </w:rPr>
  </w:style>
  <w:style w:type="paragraph" w:customStyle="1" w:styleId="766">
    <w:name w:val="заголовок 4"/>
    <w:basedOn w:val="1"/>
    <w:next w:val="1"/>
    <w:qFormat/>
    <w:uiPriority w:val="0"/>
    <w:pPr>
      <w:keepNext/>
      <w:widowControl w:val="0"/>
      <w:overflowPunct w:val="0"/>
      <w:autoSpaceDE w:val="0"/>
      <w:autoSpaceDN w:val="0"/>
      <w:adjustRightInd w:val="0"/>
      <w:jc w:val="right"/>
      <w:textAlignment w:val="baseline"/>
    </w:pPr>
    <w:rPr>
      <w:sz w:val="20"/>
      <w:szCs w:val="20"/>
    </w:rPr>
  </w:style>
  <w:style w:type="paragraph" w:customStyle="1" w:styleId="767">
    <w:name w:val="Основной текст 24"/>
    <w:basedOn w:val="1"/>
    <w:semiHidden/>
    <w:qFormat/>
    <w:uiPriority w:val="0"/>
    <w:pPr>
      <w:overflowPunct w:val="0"/>
      <w:autoSpaceDE w:val="0"/>
      <w:autoSpaceDN w:val="0"/>
      <w:adjustRightInd w:val="0"/>
      <w:ind w:left="851"/>
      <w:jc w:val="both"/>
      <w:textAlignment w:val="baseline"/>
    </w:pPr>
    <w:rPr>
      <w:rFonts w:ascii="Arial" w:hAnsi="Arial"/>
      <w:szCs w:val="20"/>
    </w:rPr>
  </w:style>
  <w:style w:type="paragraph" w:customStyle="1" w:styleId="768">
    <w:name w:val="Основной текст с отступом 32"/>
    <w:basedOn w:val="1"/>
    <w:qFormat/>
    <w:uiPriority w:val="0"/>
    <w:pPr>
      <w:overflowPunct w:val="0"/>
      <w:autoSpaceDE w:val="0"/>
      <w:autoSpaceDN w:val="0"/>
      <w:adjustRightInd w:val="0"/>
      <w:ind w:firstLine="709"/>
      <w:jc w:val="both"/>
      <w:textAlignment w:val="baseline"/>
    </w:pPr>
    <w:rPr>
      <w:rFonts w:ascii="Arial" w:hAnsi="Arial"/>
      <w:szCs w:val="20"/>
    </w:rPr>
  </w:style>
  <w:style w:type="paragraph" w:customStyle="1" w:styleId="769">
    <w:name w:val="Рабочий Стиль1"/>
    <w:basedOn w:val="42"/>
    <w:semiHidden/>
    <w:qFormat/>
    <w:uiPriority w:val="0"/>
    <w:pPr>
      <w:spacing w:line="312" w:lineRule="auto"/>
      <w:ind w:left="0" w:firstLine="567"/>
    </w:pPr>
    <w:rPr>
      <w:b w:val="0"/>
      <w:bCs w:val="0"/>
      <w:sz w:val="28"/>
      <w:szCs w:val="20"/>
    </w:rPr>
  </w:style>
  <w:style w:type="paragraph" w:customStyle="1" w:styleId="770">
    <w:name w:val="Стиль Заголовок 2 + Times New Roman 12 пт курсив подчеркивание"/>
    <w:basedOn w:val="3"/>
    <w:qFormat/>
    <w:uiPriority w:val="0"/>
    <w:pPr>
      <w:spacing w:before="0" w:after="0" w:line="360" w:lineRule="auto"/>
      <w:ind w:right="-142" w:firstLine="709"/>
      <w:jc w:val="both"/>
    </w:pPr>
    <w:rPr>
      <w:rFonts w:ascii="Times New Roman" w:hAnsi="Times New Roman"/>
      <w:i w:val="0"/>
      <w:sz w:val="24"/>
      <w:szCs w:val="20"/>
    </w:rPr>
  </w:style>
  <w:style w:type="paragraph" w:customStyle="1" w:styleId="771">
    <w:name w:val="Стиль Заголовок 2 + Times New Roman 12 пт Первая строка:  0 см С..."/>
    <w:basedOn w:val="3"/>
    <w:qFormat/>
    <w:uiPriority w:val="0"/>
    <w:pPr>
      <w:spacing w:line="288" w:lineRule="auto"/>
      <w:ind w:firstLine="709"/>
      <w:jc w:val="both"/>
    </w:pPr>
    <w:rPr>
      <w:rFonts w:ascii="Times New Roman" w:hAnsi="Times New Roman"/>
      <w:i w:val="0"/>
      <w:iCs w:val="0"/>
      <w:sz w:val="32"/>
      <w:szCs w:val="32"/>
    </w:rPr>
  </w:style>
  <w:style w:type="paragraph" w:customStyle="1" w:styleId="772">
    <w:name w:val="Таблицы с заголовками"/>
    <w:basedOn w:val="22"/>
    <w:qFormat/>
    <w:uiPriority w:val="0"/>
    <w:pPr>
      <w:keepNext/>
      <w:widowControl w:val="0"/>
      <w:spacing w:after="0"/>
      <w:jc w:val="both"/>
    </w:pPr>
    <w:rPr>
      <w:bCs w:val="0"/>
      <w:color w:val="auto"/>
      <w:sz w:val="28"/>
      <w:szCs w:val="28"/>
    </w:rPr>
  </w:style>
  <w:style w:type="character" w:customStyle="1" w:styleId="773">
    <w:name w:val="Красная строка Знак"/>
    <w:link w:val="59"/>
    <w:uiPriority w:val="0"/>
    <w:rPr>
      <w:rFonts w:ascii="Times New Roman" w:hAnsi="Times New Roman" w:eastAsia="Times New Roman"/>
      <w:b/>
      <w:bCs/>
      <w:sz w:val="24"/>
      <w:szCs w:val="24"/>
    </w:rPr>
  </w:style>
  <w:style w:type="paragraph" w:customStyle="1" w:styleId="774">
    <w:name w:val="Без интервала2"/>
    <w:qFormat/>
    <w:uiPriority w:val="0"/>
    <w:pPr>
      <w:widowControl w:val="0"/>
      <w:suppressAutoHyphens/>
    </w:pPr>
    <w:rPr>
      <w:rFonts w:ascii="Arial" w:hAnsi="Arial" w:eastAsia="Arial Unicode MS" w:cs="Mangal"/>
      <w:szCs w:val="24"/>
      <w:lang w:val="ru-RU" w:eastAsia="hi-IN" w:bidi="hi-IN"/>
    </w:rPr>
  </w:style>
  <w:style w:type="paragraph" w:customStyle="1" w:styleId="775">
    <w:name w:val="Style for table heading"/>
    <w:basedOn w:val="1"/>
    <w:qFormat/>
    <w:uiPriority w:val="0"/>
    <w:pPr>
      <w:keepNext/>
      <w:keepLines/>
      <w:suppressAutoHyphens/>
      <w:jc w:val="center"/>
    </w:pPr>
    <w:rPr>
      <w:b/>
      <w:sz w:val="20"/>
      <w:szCs w:val="20"/>
      <w:lang w:val="en-AU" w:eastAsia="en-US"/>
    </w:rPr>
  </w:style>
  <w:style w:type="paragraph" w:customStyle="1" w:styleId="776">
    <w:name w:val="Style for table text"/>
    <w:basedOn w:val="1"/>
    <w:qFormat/>
    <w:uiPriority w:val="0"/>
    <w:pPr>
      <w:suppressAutoHyphens/>
    </w:pPr>
    <w:rPr>
      <w:sz w:val="20"/>
      <w:szCs w:val="20"/>
      <w:lang w:eastAsia="en-US"/>
    </w:rPr>
  </w:style>
  <w:style w:type="paragraph" w:customStyle="1" w:styleId="777">
    <w:name w:val="Body Text Keep"/>
    <w:basedOn w:val="1"/>
    <w:next w:val="42"/>
    <w:link w:val="779"/>
    <w:qFormat/>
    <w:uiPriority w:val="0"/>
    <w:pPr>
      <w:spacing w:before="120" w:after="120"/>
      <w:jc w:val="both"/>
    </w:pPr>
    <w:rPr>
      <w:spacing w:val="-5"/>
      <w:lang w:eastAsia="en-US"/>
    </w:rPr>
  </w:style>
  <w:style w:type="paragraph" w:customStyle="1" w:styleId="778">
    <w:name w:val="Comment Text1"/>
    <w:basedOn w:val="1"/>
    <w:qFormat/>
    <w:uiPriority w:val="0"/>
    <w:pPr>
      <w:spacing w:before="120"/>
    </w:pPr>
    <w:rPr>
      <w:bCs/>
      <w:sz w:val="20"/>
      <w:szCs w:val="20"/>
      <w:lang w:eastAsia="en-US"/>
    </w:rPr>
  </w:style>
  <w:style w:type="character" w:customStyle="1" w:styleId="779">
    <w:name w:val="Body Text Keep Char"/>
    <w:link w:val="777"/>
    <w:uiPriority w:val="0"/>
    <w:rPr>
      <w:rFonts w:ascii="Times New Roman" w:hAnsi="Times New Roman" w:eastAsia="Times New Roman"/>
      <w:spacing w:val="-5"/>
      <w:sz w:val="24"/>
      <w:szCs w:val="24"/>
      <w:lang w:eastAsia="en-US"/>
    </w:rPr>
  </w:style>
  <w:style w:type="paragraph" w:customStyle="1" w:styleId="780">
    <w:name w:val="Обычный7"/>
    <w:qFormat/>
    <w:uiPriority w:val="0"/>
    <w:rPr>
      <w:rFonts w:ascii="MS Sans Serif" w:hAnsi="MS Sans Serif" w:eastAsia="Times New Roman" w:cs="Times New Roman"/>
      <w:lang w:val="en-US" w:eastAsia="ru-RU" w:bidi="ar-SA"/>
    </w:rPr>
  </w:style>
  <w:style w:type="table" w:customStyle="1" w:styleId="781">
    <w:name w:val="Сетка таблицы4"/>
    <w:basedOn w:val="100"/>
    <w:uiPriority w:val="0"/>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82">
    <w:name w:val="Дата Знак"/>
    <w:link w:val="57"/>
    <w:semiHidden/>
    <w:uiPriority w:val="99"/>
    <w:rPr>
      <w:rFonts w:ascii="Times New Roman" w:hAnsi="Times New Roman" w:eastAsia="Times New Roman"/>
      <w:sz w:val="24"/>
      <w:szCs w:val="24"/>
    </w:rPr>
  </w:style>
  <w:style w:type="character" w:customStyle="1" w:styleId="783">
    <w:name w:val="Заголовок записки Знак"/>
    <w:link w:val="56"/>
    <w:semiHidden/>
    <w:uiPriority w:val="99"/>
    <w:rPr>
      <w:rFonts w:ascii="Times New Roman" w:hAnsi="Times New Roman" w:eastAsia="Times New Roman"/>
      <w:sz w:val="24"/>
      <w:szCs w:val="24"/>
    </w:rPr>
  </w:style>
  <w:style w:type="character" w:customStyle="1" w:styleId="784">
    <w:name w:val="Подпись Знак"/>
    <w:link w:val="75"/>
    <w:semiHidden/>
    <w:uiPriority w:val="99"/>
    <w:rPr>
      <w:rFonts w:ascii="Times New Roman" w:hAnsi="Times New Roman" w:eastAsia="Times New Roman"/>
      <w:sz w:val="24"/>
      <w:szCs w:val="24"/>
    </w:rPr>
  </w:style>
  <w:style w:type="character" w:customStyle="1" w:styleId="785">
    <w:name w:val="Приветствие Знак"/>
    <w:link w:val="76"/>
    <w:semiHidden/>
    <w:uiPriority w:val="99"/>
    <w:rPr>
      <w:rFonts w:ascii="Times New Roman" w:hAnsi="Times New Roman" w:eastAsia="Times New Roman"/>
      <w:sz w:val="24"/>
      <w:szCs w:val="24"/>
    </w:rPr>
  </w:style>
  <w:style w:type="character" w:customStyle="1" w:styleId="786">
    <w:name w:val="Текст макроса Знак"/>
    <w:link w:val="49"/>
    <w:semiHidden/>
    <w:uiPriority w:val="99"/>
    <w:rPr>
      <w:rFonts w:ascii="Consolas" w:hAnsi="Consolas" w:eastAsia="Times New Roman"/>
      <w:lang w:val="ru-RU" w:eastAsia="ru-RU" w:bidi="ar-SA"/>
    </w:rPr>
  </w:style>
  <w:style w:type="character" w:customStyle="1" w:styleId="787">
    <w:name w:val="Шапка Знак"/>
    <w:link w:val="86"/>
    <w:semiHidden/>
    <w:uiPriority w:val="99"/>
    <w:rPr>
      <w:rFonts w:ascii="Cambria" w:hAnsi="Cambria" w:eastAsia="Times New Roman" w:cs="Times New Roman"/>
      <w:sz w:val="24"/>
      <w:szCs w:val="24"/>
      <w:shd w:val="pct20" w:color="auto" w:fill="auto"/>
    </w:rPr>
  </w:style>
  <w:style w:type="character" w:customStyle="1" w:styleId="788">
    <w:name w:val="Body Text Indent Char"/>
    <w:uiPriority w:val="0"/>
    <w:rPr>
      <w:sz w:val="24"/>
      <w:szCs w:val="24"/>
      <w:lang w:val="ru-RU" w:eastAsia="ru-RU" w:bidi="ar-SA"/>
    </w:rPr>
  </w:style>
  <w:style w:type="table" w:customStyle="1" w:styleId="789">
    <w:name w:val="Сетка таблицы5"/>
    <w:basedOn w:val="10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90">
    <w:name w:val="Знак Знак Знак Знак Знак Знак Знак Знак Знак Знак Знак Знак Знак Знак Знак Знак Знак Знак Знак Знак Знак Знак Знак Знак Знак Знак Знак Знак"/>
    <w:basedOn w:val="1"/>
    <w:qFormat/>
    <w:uiPriority w:val="0"/>
    <w:pPr>
      <w:spacing w:after="160" w:line="240" w:lineRule="exact"/>
    </w:pPr>
    <w:rPr>
      <w:rFonts w:ascii="Verdana" w:hAnsi="Verdana"/>
      <w:lang w:val="en-US" w:eastAsia="en-US"/>
    </w:rPr>
  </w:style>
  <w:style w:type="paragraph" w:customStyle="1" w:styleId="791">
    <w:name w:val="Знак Знак Знак Знак Знак Знак Знак Знак Знак Знак Знак Знак Знак Знак Знак Знак Знак Знак Знак Знак Знак Знак Знак Знак Знак Знак Знак Знак4"/>
    <w:basedOn w:val="1"/>
    <w:qFormat/>
    <w:uiPriority w:val="99"/>
    <w:pPr>
      <w:spacing w:after="160" w:line="240" w:lineRule="exact"/>
    </w:pPr>
    <w:rPr>
      <w:rFonts w:ascii="Verdana" w:hAnsi="Verdana"/>
      <w:lang w:val="en-US" w:eastAsia="en-US"/>
    </w:rPr>
  </w:style>
  <w:style w:type="paragraph" w:customStyle="1" w:styleId="792">
    <w:name w:val="Знак Знак Знак Знак Знак Знак Знак Знак Знак Знак Знак Знак Знак Знак Знак Знак Знак Знак Знак Знак Знак Знак Знак Знак Знак Знак Знак Знак3"/>
    <w:basedOn w:val="1"/>
    <w:qFormat/>
    <w:uiPriority w:val="99"/>
    <w:pPr>
      <w:spacing w:after="160" w:line="240" w:lineRule="exact"/>
    </w:pPr>
    <w:rPr>
      <w:rFonts w:ascii="Verdana" w:hAnsi="Verdana"/>
      <w:lang w:val="en-US" w:eastAsia="en-US"/>
    </w:rPr>
  </w:style>
  <w:style w:type="paragraph" w:customStyle="1" w:styleId="793">
    <w:name w:val="Знак Знак Знак Знак Знак Знак Знак Знак Знак Знак Знак Знак Знак Знак Знак Знак Знак Знак Знак Знак Знак Знак Знак Знак Знак"/>
    <w:basedOn w:val="1"/>
    <w:qFormat/>
    <w:uiPriority w:val="0"/>
    <w:pPr>
      <w:spacing w:after="160" w:line="240" w:lineRule="exact"/>
    </w:pPr>
    <w:rPr>
      <w:rFonts w:ascii="Verdana" w:hAnsi="Verdana"/>
      <w:lang w:val="en-US" w:eastAsia="en-US"/>
    </w:rPr>
  </w:style>
  <w:style w:type="paragraph" w:customStyle="1" w:styleId="794">
    <w:name w:val="Знак Знак Знак Знак Знак Знак Знак Знак Знак Знак Знак Знак Знак Знак Знак Знак Знак Знак Знак Знак Знак Знак Знак Знак Знак Знак Знак Знак2"/>
    <w:basedOn w:val="1"/>
    <w:qFormat/>
    <w:uiPriority w:val="99"/>
    <w:pPr>
      <w:spacing w:after="160" w:line="240" w:lineRule="exact"/>
    </w:pPr>
    <w:rPr>
      <w:rFonts w:ascii="Verdana" w:hAnsi="Verdana"/>
      <w:lang w:val="en-US" w:eastAsia="en-US"/>
    </w:rPr>
  </w:style>
  <w:style w:type="paragraph" w:customStyle="1" w:styleId="795">
    <w:name w:val="Знак Знак Знак Знак Знак Знак Знак Знак Знак Знак Знак Знак Знак Знак Знак Знак Знак Знак Знак Знак Знак Знак Знак Знак Знак1"/>
    <w:basedOn w:val="1"/>
    <w:qFormat/>
    <w:uiPriority w:val="99"/>
    <w:pPr>
      <w:spacing w:after="160" w:line="240" w:lineRule="exact"/>
    </w:pPr>
    <w:rPr>
      <w:rFonts w:ascii="Verdana" w:hAnsi="Verdana"/>
      <w:lang w:val="en-US" w:eastAsia="en-US"/>
    </w:rPr>
  </w:style>
  <w:style w:type="character" w:customStyle="1" w:styleId="796">
    <w:name w:val="sourhr"/>
    <w:uiPriority w:val="99"/>
    <w:rPr>
      <w:rFonts w:cs="Times New Roman"/>
    </w:rPr>
  </w:style>
  <w:style w:type="paragraph" w:customStyle="1" w:styleId="797">
    <w:name w:val="Знак Знак Знак Знак Знак Знак Знак Знак Знак Знак Знак Знак Знак Знак Знак Знак Знак Знак Знак Знак Знак Знак Знак Знак Знак Знак Знак Знак1"/>
    <w:basedOn w:val="1"/>
    <w:qFormat/>
    <w:uiPriority w:val="99"/>
    <w:pPr>
      <w:spacing w:after="160" w:line="240" w:lineRule="exact"/>
    </w:pPr>
    <w:rPr>
      <w:rFonts w:ascii="Verdana" w:hAnsi="Verdana"/>
      <w:lang w:val="en-US" w:eastAsia="en-US"/>
    </w:rPr>
  </w:style>
  <w:style w:type="character" w:customStyle="1" w:styleId="798">
    <w:name w:val="spelle"/>
    <w:uiPriority w:val="99"/>
    <w:rPr>
      <w:rFonts w:cs="Times New Roman"/>
    </w:rPr>
  </w:style>
  <w:style w:type="paragraph" w:customStyle="1" w:styleId="799">
    <w:name w:val="Preformat"/>
    <w:qFormat/>
    <w:uiPriority w:val="0"/>
    <w:pPr>
      <w:overflowPunct w:val="0"/>
      <w:autoSpaceDE w:val="0"/>
      <w:autoSpaceDN w:val="0"/>
      <w:adjustRightInd w:val="0"/>
      <w:textAlignment w:val="baseline"/>
    </w:pPr>
    <w:rPr>
      <w:rFonts w:ascii="Courier New" w:hAnsi="Courier New" w:eastAsia="Times New Roman" w:cs="Times New Roman"/>
      <w:lang w:val="ru-RU" w:eastAsia="ru-RU" w:bidi="ar-SA"/>
    </w:rPr>
  </w:style>
  <w:style w:type="character" w:customStyle="1" w:styleId="800">
    <w:name w:val="Абзац Знак"/>
    <w:link w:val="801"/>
    <w:locked/>
    <w:uiPriority w:val="0"/>
    <w:rPr>
      <w:rFonts w:ascii="Times New Roman" w:hAnsi="Times New Roman" w:eastAsia="Times New Roman"/>
      <w:sz w:val="24"/>
      <w:szCs w:val="24"/>
      <w:lang w:val="ru-RU" w:eastAsia="ru-RU" w:bidi="ar-SA"/>
    </w:rPr>
  </w:style>
  <w:style w:type="paragraph" w:customStyle="1" w:styleId="801">
    <w:name w:val="Абзац"/>
    <w:link w:val="800"/>
    <w:qFormat/>
    <w:uiPriority w:val="0"/>
    <w:pPr>
      <w:spacing w:before="120" w:after="60"/>
      <w:ind w:firstLine="567"/>
      <w:jc w:val="both"/>
    </w:pPr>
    <w:rPr>
      <w:rFonts w:ascii="Times New Roman" w:hAnsi="Times New Roman" w:eastAsia="Times New Roman" w:cs="Times New Roman"/>
      <w:sz w:val="24"/>
      <w:szCs w:val="24"/>
      <w:lang w:val="ru-RU" w:eastAsia="ru-RU" w:bidi="ar-SA"/>
    </w:rPr>
  </w:style>
  <w:style w:type="character" w:customStyle="1" w:styleId="802">
    <w:name w:val="Таблица_номер_таблицы Знак"/>
    <w:link w:val="803"/>
    <w:locked/>
    <w:uiPriority w:val="0"/>
    <w:rPr>
      <w:rFonts w:ascii="Times New Roman" w:hAnsi="Times New Roman" w:eastAsia="Times New Roman"/>
      <w:bCs/>
      <w:sz w:val="24"/>
      <w:lang w:val="ru-RU" w:eastAsia="ru-RU" w:bidi="ar-SA"/>
    </w:rPr>
  </w:style>
  <w:style w:type="paragraph" w:customStyle="1" w:styleId="803">
    <w:name w:val="Таблица_номер_таблицы"/>
    <w:link w:val="802"/>
    <w:qFormat/>
    <w:uiPriority w:val="0"/>
    <w:pPr>
      <w:keepNext/>
      <w:jc w:val="right"/>
    </w:pPr>
    <w:rPr>
      <w:rFonts w:ascii="Times New Roman" w:hAnsi="Times New Roman" w:eastAsia="Times New Roman" w:cs="Times New Roman"/>
      <w:bCs/>
      <w:sz w:val="24"/>
      <w:lang w:val="ru-RU" w:eastAsia="ru-RU" w:bidi="ar-SA"/>
    </w:rPr>
  </w:style>
  <w:style w:type="character" w:customStyle="1" w:styleId="804">
    <w:name w:val="Таблица_название_таблицы Знак"/>
    <w:link w:val="805"/>
    <w:locked/>
    <w:uiPriority w:val="0"/>
    <w:rPr>
      <w:rFonts w:ascii="Times New Roman" w:hAnsi="Times New Roman" w:eastAsia="Times New Roman"/>
      <w:bCs/>
      <w:sz w:val="24"/>
      <w:lang w:val="ru-RU" w:eastAsia="ru-RU" w:bidi="ar-SA"/>
    </w:rPr>
  </w:style>
  <w:style w:type="paragraph" w:customStyle="1" w:styleId="805">
    <w:name w:val="Таблица_название_таблицы"/>
    <w:next w:val="801"/>
    <w:link w:val="804"/>
    <w:qFormat/>
    <w:uiPriority w:val="0"/>
    <w:pPr>
      <w:keepNext/>
      <w:spacing w:after="120"/>
      <w:jc w:val="center"/>
    </w:pPr>
    <w:rPr>
      <w:rFonts w:ascii="Times New Roman" w:hAnsi="Times New Roman" w:eastAsia="Times New Roman" w:cs="Times New Roman"/>
      <w:bCs/>
      <w:sz w:val="24"/>
      <w:lang w:val="ru-RU" w:eastAsia="ru-RU" w:bidi="ar-SA"/>
    </w:rPr>
  </w:style>
  <w:style w:type="character" w:customStyle="1" w:styleId="806">
    <w:name w:val="Табличный_таблица_11 Знак"/>
    <w:link w:val="807"/>
    <w:locked/>
    <w:uiPriority w:val="0"/>
    <w:rPr>
      <w:rFonts w:ascii="Times New Roman" w:hAnsi="Times New Roman" w:eastAsia="Times New Roman"/>
      <w:lang w:val="ru-RU" w:eastAsia="ru-RU" w:bidi="ar-SA"/>
    </w:rPr>
  </w:style>
  <w:style w:type="paragraph" w:customStyle="1" w:styleId="807">
    <w:name w:val="Табличный_таблица_11"/>
    <w:link w:val="806"/>
    <w:qFormat/>
    <w:uiPriority w:val="0"/>
    <w:pPr>
      <w:jc w:val="center"/>
    </w:pPr>
    <w:rPr>
      <w:rFonts w:ascii="Times New Roman" w:hAnsi="Times New Roman" w:eastAsia="Times New Roman" w:cs="Times New Roman"/>
      <w:lang w:val="ru-RU" w:eastAsia="ru-RU" w:bidi="ar-SA"/>
    </w:rPr>
  </w:style>
  <w:style w:type="character" w:customStyle="1" w:styleId="808">
    <w:name w:val="Текст_Обычный"/>
    <w:qFormat/>
    <w:uiPriority w:val="1"/>
  </w:style>
  <w:style w:type="character" w:customStyle="1" w:styleId="809">
    <w:name w:val="Текст_Жирный"/>
    <w:qFormat/>
    <w:uiPriority w:val="0"/>
    <w:rPr>
      <w:rFonts w:hint="default" w:ascii="Times New Roman" w:hAnsi="Times New Roman" w:cs="Times New Roman"/>
      <w:b/>
    </w:rPr>
  </w:style>
  <w:style w:type="paragraph" w:customStyle="1" w:styleId="810">
    <w:name w:val="Heading"/>
    <w:qFormat/>
    <w:uiPriority w:val="0"/>
    <w:pPr>
      <w:autoSpaceDE w:val="0"/>
      <w:autoSpaceDN w:val="0"/>
      <w:adjustRightInd w:val="0"/>
    </w:pPr>
    <w:rPr>
      <w:rFonts w:ascii="Arial" w:hAnsi="Arial" w:eastAsia="SimSun" w:cs="Arial"/>
      <w:b/>
      <w:bCs/>
      <w:sz w:val="22"/>
      <w:szCs w:val="22"/>
      <w:lang w:val="ru-RU" w:eastAsia="zh-CN" w:bidi="ar-SA"/>
    </w:rPr>
  </w:style>
  <w:style w:type="character" w:customStyle="1" w:styleId="811">
    <w:name w:val="Subtle Emphasis"/>
    <w:qFormat/>
    <w:uiPriority w:val="19"/>
    <w:rPr>
      <w:i/>
      <w:iCs/>
      <w:color w:val="808080"/>
    </w:rPr>
  </w:style>
  <w:style w:type="character" w:customStyle="1" w:styleId="812">
    <w:name w:val="Intense Emphasis"/>
    <w:qFormat/>
    <w:uiPriority w:val="21"/>
    <w:rPr>
      <w:b/>
      <w:bCs/>
      <w:i/>
      <w:iCs/>
      <w:color w:val="4F81BD"/>
    </w:rPr>
  </w:style>
  <w:style w:type="table" w:customStyle="1" w:styleId="813">
    <w:name w:val="Сетка таблицы31"/>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4">
    <w:name w:val="Сетка таблицы41"/>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5">
    <w:name w:val="Сетка таблицы51"/>
    <w:basedOn w:val="100"/>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16">
    <w:name w:val="Table Contents"/>
    <w:basedOn w:val="1"/>
    <w:qFormat/>
    <w:uiPriority w:val="0"/>
    <w:pPr>
      <w:widowControl w:val="0"/>
      <w:suppressLineNumbers/>
      <w:suppressAutoHyphens/>
      <w:autoSpaceDN w:val="0"/>
      <w:textAlignment w:val="baseline"/>
    </w:pPr>
    <w:rPr>
      <w:rFonts w:ascii="Liberation Serif" w:hAnsi="Liberation Serif" w:eastAsia="DejaVu Sans" w:cs="DejaVu Sans"/>
      <w:kern w:val="3"/>
      <w:lang w:eastAsia="zh-CN" w:bidi="hi-IN"/>
    </w:rPr>
  </w:style>
  <w:style w:type="character" w:customStyle="1" w:styleId="817">
    <w:name w:val="Название объекта Знак"/>
    <w:link w:val="22"/>
    <w:qFormat/>
    <w:uiPriority w:val="0"/>
    <w:rPr>
      <w:rFonts w:ascii="Times New Roman" w:hAnsi="Times New Roman" w:eastAsia="Times New Roman"/>
      <w:b/>
      <w:bCs/>
      <w:color w:val="4F81BD"/>
      <w:sz w:val="18"/>
      <w:szCs w:val="18"/>
    </w:rPr>
  </w:style>
  <w:style w:type="character" w:customStyle="1" w:styleId="818">
    <w:name w:val="Основной текст + 11 pt"/>
    <w:uiPriority w:val="0"/>
    <w:rPr>
      <w:rFonts w:ascii="Times New Roman" w:hAnsi="Times New Roman" w:eastAsia="Times New Roman"/>
      <w:color w:val="000000"/>
      <w:spacing w:val="0"/>
      <w:w w:val="100"/>
      <w:position w:val="0"/>
      <w:sz w:val="22"/>
      <w:szCs w:val="22"/>
      <w:shd w:val="clear" w:color="auto" w:fill="FFFFFF"/>
      <w:lang w:val="ru-RU" w:eastAsia="ru-RU" w:bidi="ru-RU"/>
    </w:rPr>
  </w:style>
  <w:style w:type="character" w:customStyle="1" w:styleId="819">
    <w:name w:val="Основной текст + 11 pt;Полужирный"/>
    <w:uiPriority w:val="0"/>
    <w:rPr>
      <w:rFonts w:ascii="Times New Roman" w:hAnsi="Times New Roman" w:eastAsia="Times New Roman"/>
      <w:b/>
      <w:bCs/>
      <w:color w:val="000000"/>
      <w:spacing w:val="0"/>
      <w:w w:val="100"/>
      <w:position w:val="0"/>
      <w:sz w:val="22"/>
      <w:szCs w:val="22"/>
      <w:shd w:val="clear" w:color="auto" w:fill="FFFFFF"/>
      <w:lang w:val="ru-RU" w:eastAsia="ru-RU" w:bidi="ru-RU"/>
    </w:rPr>
  </w:style>
  <w:style w:type="character" w:customStyle="1" w:styleId="820">
    <w:name w:val="Основной текст + Arial;6;5 pt;Интервал -1 pt;Масштаб 150%"/>
    <w:uiPriority w:val="0"/>
    <w:rPr>
      <w:rFonts w:ascii="Arial" w:hAnsi="Arial" w:eastAsia="Arial" w:cs="Arial"/>
      <w:color w:val="000000"/>
      <w:spacing w:val="-20"/>
      <w:w w:val="150"/>
      <w:position w:val="0"/>
      <w:sz w:val="13"/>
      <w:szCs w:val="13"/>
      <w:shd w:val="clear" w:color="auto" w:fill="FFFFFF"/>
      <w:lang w:val="ru-RU" w:eastAsia="ru-RU" w:bidi="ru-RU"/>
    </w:rPr>
  </w:style>
  <w:style w:type="paragraph" w:customStyle="1" w:styleId="821">
    <w:name w:val="Основной текст7"/>
    <w:basedOn w:val="1"/>
    <w:qFormat/>
    <w:uiPriority w:val="0"/>
    <w:pPr>
      <w:widowControl w:val="0"/>
      <w:shd w:val="clear" w:color="auto" w:fill="FFFFFF"/>
      <w:spacing w:before="540" w:after="360" w:line="0" w:lineRule="atLeast"/>
      <w:ind w:hanging="360"/>
    </w:pPr>
    <w:rPr>
      <w:sz w:val="26"/>
      <w:szCs w:val="26"/>
    </w:rPr>
  </w:style>
  <w:style w:type="character" w:customStyle="1" w:styleId="822">
    <w:name w:val="Основной текст + Arial;6;5 pt;Масштаб 150%"/>
    <w:uiPriority w:val="0"/>
    <w:rPr>
      <w:rFonts w:ascii="Arial" w:hAnsi="Arial" w:eastAsia="Arial" w:cs="Arial"/>
      <w:color w:val="000000"/>
      <w:spacing w:val="0"/>
      <w:w w:val="150"/>
      <w:position w:val="0"/>
      <w:sz w:val="13"/>
      <w:szCs w:val="13"/>
      <w:u w:val="none"/>
      <w:shd w:val="clear" w:color="auto" w:fill="FFFFFF"/>
      <w:lang w:val="ru-RU" w:eastAsia="ru-RU" w:bidi="ru-RU"/>
    </w:rPr>
  </w:style>
  <w:style w:type="character" w:customStyle="1" w:styleId="823">
    <w:name w:val="Основной текст + Arial;11;5 pt;Полужирный;Курсив"/>
    <w:uiPriority w:val="0"/>
    <w:rPr>
      <w:rFonts w:ascii="Arial" w:hAnsi="Arial" w:eastAsia="Arial" w:cs="Arial"/>
      <w:b/>
      <w:bCs/>
      <w:i/>
      <w:iCs/>
      <w:color w:val="000000"/>
      <w:spacing w:val="0"/>
      <w:w w:val="100"/>
      <w:position w:val="0"/>
      <w:sz w:val="23"/>
      <w:szCs w:val="23"/>
      <w:u w:val="none"/>
      <w:shd w:val="clear" w:color="auto" w:fill="FFFFFF"/>
      <w:lang w:val="ru-RU" w:eastAsia="ru-RU" w:bidi="ru-RU"/>
    </w:rPr>
  </w:style>
  <w:style w:type="character" w:customStyle="1" w:styleId="824">
    <w:name w:val="Основной текст + Garamond;6;5 pt;Полужирный"/>
    <w:uiPriority w:val="0"/>
    <w:rPr>
      <w:rFonts w:ascii="Garamond" w:hAnsi="Garamond" w:eastAsia="Garamond" w:cs="Garamond"/>
      <w:b/>
      <w:bCs/>
      <w:color w:val="000000"/>
      <w:spacing w:val="0"/>
      <w:w w:val="100"/>
      <w:position w:val="0"/>
      <w:sz w:val="13"/>
      <w:szCs w:val="13"/>
      <w:u w:val="none"/>
      <w:shd w:val="clear" w:color="auto" w:fill="FFFFFF"/>
      <w:lang w:val="ru-RU" w:eastAsia="ru-RU" w:bidi="ru-RU"/>
    </w:rPr>
  </w:style>
  <w:style w:type="table" w:customStyle="1" w:styleId="825">
    <w:name w:val="Сетка таблицы6"/>
    <w:basedOn w:val="10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26">
    <w:name w:val="Текст таблиц"/>
    <w:link w:val="827"/>
    <w:qFormat/>
    <w:uiPriority w:val="99"/>
    <w:rPr>
      <w:rFonts w:ascii="Times New Roman" w:hAnsi="Times New Roman" w:eastAsia="SimSun" w:cs="Times New Roman"/>
      <w:sz w:val="24"/>
      <w:szCs w:val="22"/>
      <w:lang w:val="ru-RU" w:eastAsia="ru-RU" w:bidi="ar-SA"/>
    </w:rPr>
  </w:style>
  <w:style w:type="character" w:customStyle="1" w:styleId="827">
    <w:name w:val="Текст таблиц Знак"/>
    <w:link w:val="826"/>
    <w:locked/>
    <w:uiPriority w:val="99"/>
    <w:rPr>
      <w:rFonts w:ascii="Times New Roman" w:hAnsi="Times New Roman" w:eastAsia="SimSun"/>
      <w:sz w:val="24"/>
      <w:szCs w:val="22"/>
      <w:lang w:bidi="ar-SA"/>
    </w:rPr>
  </w:style>
  <w:style w:type="paragraph" w:customStyle="1" w:styleId="828">
    <w:name w:val="Сноска"/>
    <w:basedOn w:val="1"/>
    <w:qFormat/>
    <w:uiPriority w:val="99"/>
    <w:pPr>
      <w:jc w:val="both"/>
    </w:pPr>
    <w:rPr>
      <w:sz w:val="20"/>
      <w:szCs w:val="22"/>
      <w:lang w:val="en-US"/>
    </w:rPr>
  </w:style>
  <w:style w:type="character" w:customStyle="1" w:styleId="829">
    <w:name w:val="Заголовок 2 Знак1"/>
    <w:basedOn w:val="88"/>
    <w:semiHidden/>
    <w:uiPriority w:val="0"/>
    <w:rPr>
      <w:rFonts w:ascii="Cambria" w:hAnsi="Cambria" w:eastAsia="Times New Roman" w:cs="Times New Roman"/>
      <w:b/>
      <w:bCs/>
      <w:color w:val="4F81BD"/>
      <w:sz w:val="26"/>
      <w:szCs w:val="26"/>
    </w:rPr>
  </w:style>
  <w:style w:type="character" w:customStyle="1" w:styleId="830">
    <w:name w:val="Верхний колонтитул Знак1"/>
    <w:basedOn w:val="88"/>
    <w:semiHidden/>
    <w:uiPriority w:val="99"/>
    <w:rPr>
      <w:rFonts w:ascii="Times New Roman" w:hAnsi="Times New Roman" w:eastAsia="Times New Roman"/>
      <w:sz w:val="24"/>
      <w:szCs w:val="24"/>
    </w:rPr>
  </w:style>
  <w:style w:type="character" w:customStyle="1" w:styleId="831">
    <w:name w:val="Название Знак1"/>
    <w:basedOn w:val="88"/>
    <w:uiPriority w:val="0"/>
    <w:rPr>
      <w:rFonts w:ascii="Cambria" w:hAnsi="Cambria" w:eastAsia="Times New Roman" w:cs="Times New Roman"/>
      <w:color w:val="17365D"/>
      <w:spacing w:val="5"/>
      <w:kern w:val="28"/>
      <w:sz w:val="52"/>
      <w:szCs w:val="52"/>
    </w:rPr>
  </w:style>
  <w:style w:type="character" w:customStyle="1" w:styleId="832">
    <w:name w:val="Основной текст с отступом Знак1"/>
    <w:basedOn w:val="88"/>
    <w:uiPriority w:val="0"/>
    <w:rPr>
      <w:rFonts w:ascii="Times New Roman" w:hAnsi="Times New Roman" w:eastAsia="Times New Roman"/>
      <w:sz w:val="24"/>
      <w:szCs w:val="24"/>
    </w:rPr>
  </w:style>
  <w:style w:type="character" w:customStyle="1" w:styleId="833">
    <w:name w:val="Текст примечания Знак1"/>
    <w:basedOn w:val="88"/>
    <w:semiHidden/>
    <w:uiPriority w:val="0"/>
    <w:rPr>
      <w:rFonts w:ascii="Times New Roman" w:hAnsi="Times New Roman" w:eastAsia="Times New Roman"/>
    </w:rPr>
  </w:style>
  <w:style w:type="character" w:customStyle="1" w:styleId="834">
    <w:name w:val="Обычный (веб) Знак1"/>
    <w:basedOn w:val="88"/>
    <w:locked/>
    <w:uiPriority w:val="99"/>
    <w:rPr>
      <w:rFonts w:ascii="Arial" w:hAnsi="Arial" w:eastAsia="Times New Roman" w:cs="Arial"/>
      <w:b/>
      <w:bCs/>
      <w:i/>
      <w:iCs/>
      <w:color w:val="4F81BD"/>
      <w:sz w:val="24"/>
    </w:rPr>
  </w:style>
  <w:style w:type="character" w:customStyle="1" w:styleId="835">
    <w:name w:val="_абзац Знак"/>
    <w:link w:val="836"/>
    <w:locked/>
    <w:uiPriority w:val="0"/>
    <w:rPr>
      <w:rFonts w:ascii="Times New Roman" w:hAnsi="Times New Roman" w:eastAsia="Times New Roman"/>
      <w:sz w:val="24"/>
      <w:szCs w:val="24"/>
    </w:rPr>
  </w:style>
  <w:style w:type="paragraph" w:customStyle="1" w:styleId="836">
    <w:name w:val="_абзац"/>
    <w:basedOn w:val="1"/>
    <w:link w:val="835"/>
    <w:qFormat/>
    <w:uiPriority w:val="0"/>
    <w:pPr>
      <w:ind w:firstLine="708"/>
      <w:jc w:val="both"/>
    </w:pPr>
  </w:style>
  <w:style w:type="paragraph" w:customStyle="1" w:styleId="837">
    <w:name w:val="xl1912"/>
    <w:basedOn w:val="1"/>
    <w:qFormat/>
    <w:uiPriority w:val="0"/>
    <w:pPr>
      <w:spacing w:before="100" w:beforeAutospacing="1" w:after="100" w:afterAutospacing="1"/>
    </w:pPr>
    <w:rPr>
      <w:sz w:val="16"/>
      <w:szCs w:val="16"/>
    </w:rPr>
  </w:style>
  <w:style w:type="paragraph" w:customStyle="1" w:styleId="838">
    <w:name w:val="xl1913"/>
    <w:basedOn w:val="1"/>
    <w:qFormat/>
    <w:uiPriority w:val="0"/>
    <w:pPr>
      <w:spacing w:before="100" w:beforeAutospacing="1" w:after="100" w:afterAutospacing="1"/>
    </w:pPr>
    <w:rPr>
      <w:sz w:val="16"/>
      <w:szCs w:val="16"/>
    </w:rPr>
  </w:style>
  <w:style w:type="paragraph" w:customStyle="1" w:styleId="839">
    <w:name w:val="xl1914"/>
    <w:basedOn w:val="1"/>
    <w:qFormat/>
    <w:uiPriority w:val="0"/>
    <w:pPr>
      <w:shd w:val="clear" w:color="auto" w:fill="FFFFFF"/>
      <w:spacing w:before="100" w:beforeAutospacing="1" w:after="100" w:afterAutospacing="1"/>
    </w:pPr>
  </w:style>
  <w:style w:type="paragraph" w:customStyle="1" w:styleId="840">
    <w:name w:val="xl1915"/>
    <w:basedOn w:val="1"/>
    <w:qFormat/>
    <w:uiPriority w:val="0"/>
    <w:pPr>
      <w:pBdr>
        <w:bottom w:val="single" w:color="auto" w:sz="4" w:space="0"/>
      </w:pBdr>
      <w:shd w:val="clear" w:color="auto" w:fill="FFFFFF"/>
      <w:spacing w:before="100" w:beforeAutospacing="1" w:after="100" w:afterAutospacing="1"/>
    </w:pPr>
  </w:style>
  <w:style w:type="paragraph" w:customStyle="1" w:styleId="841">
    <w:name w:val="xl1916"/>
    <w:basedOn w:val="1"/>
    <w:qFormat/>
    <w:uiPriority w:val="0"/>
    <w:pPr>
      <w:pBdr>
        <w:bottom w:val="single" w:color="auto" w:sz="4" w:space="0"/>
      </w:pBdr>
      <w:shd w:val="clear" w:color="auto" w:fill="FFFFFF"/>
      <w:spacing w:before="100" w:beforeAutospacing="1" w:after="100" w:afterAutospacing="1"/>
      <w:jc w:val="center"/>
    </w:pPr>
  </w:style>
  <w:style w:type="paragraph" w:customStyle="1" w:styleId="842">
    <w:name w:val="xl191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43">
    <w:name w:val="xl1918"/>
    <w:basedOn w:val="1"/>
    <w:qFormat/>
    <w:uiPriority w:val="0"/>
    <w:pPr>
      <w:pBdr>
        <w:top w:val="single" w:color="auto" w:sz="4" w:space="0"/>
        <w:right w:val="single" w:color="auto" w:sz="4" w:space="0"/>
      </w:pBdr>
      <w:shd w:val="clear" w:color="auto" w:fill="FFFFFF"/>
      <w:spacing w:before="100" w:beforeAutospacing="1" w:after="100" w:afterAutospacing="1"/>
    </w:pPr>
  </w:style>
  <w:style w:type="paragraph" w:customStyle="1" w:styleId="844">
    <w:name w:val="xl191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45">
    <w:name w:val="xl1920"/>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46">
    <w:name w:val="xl1921"/>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47">
    <w:name w:val="xl1922"/>
    <w:basedOn w:val="1"/>
    <w:qFormat/>
    <w:uiPriority w:val="0"/>
    <w:pPr>
      <w:pBdr>
        <w:left w:val="single" w:color="auto" w:sz="4" w:space="0"/>
        <w:right w:val="single" w:color="auto" w:sz="4" w:space="0"/>
      </w:pBdr>
      <w:shd w:val="clear" w:color="auto" w:fill="FFFFFF"/>
      <w:spacing w:before="100" w:beforeAutospacing="1" w:after="100" w:afterAutospacing="1"/>
    </w:pPr>
  </w:style>
  <w:style w:type="paragraph" w:customStyle="1" w:styleId="848">
    <w:name w:val="xl1923"/>
    <w:basedOn w:val="1"/>
    <w:qFormat/>
    <w:uiPriority w:val="0"/>
    <w:pPr>
      <w:pBdr>
        <w:bottom w:val="single" w:color="auto" w:sz="4" w:space="0"/>
        <w:right w:val="single" w:color="auto" w:sz="4" w:space="0"/>
      </w:pBdr>
      <w:shd w:val="clear" w:color="auto" w:fill="FFFFFF"/>
      <w:spacing w:before="100" w:beforeAutospacing="1" w:after="100" w:afterAutospacing="1"/>
    </w:pPr>
  </w:style>
  <w:style w:type="paragraph" w:customStyle="1" w:styleId="849">
    <w:name w:val="xl192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50">
    <w:name w:val="xl192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color w:val="FF0000"/>
    </w:rPr>
  </w:style>
  <w:style w:type="paragraph" w:customStyle="1" w:styleId="851">
    <w:name w:val="xl1926"/>
    <w:basedOn w:val="1"/>
    <w:qFormat/>
    <w:uiPriority w:val="0"/>
    <w:pPr>
      <w:pBdr>
        <w:top w:val="single" w:color="auto" w:sz="4" w:space="0"/>
        <w:bottom w:val="single" w:color="auto" w:sz="4" w:space="0"/>
      </w:pBdr>
      <w:shd w:val="clear" w:color="auto" w:fill="FFFFFF"/>
      <w:spacing w:before="100" w:beforeAutospacing="1" w:after="100" w:afterAutospacing="1"/>
    </w:pPr>
    <w:rPr>
      <w:i/>
      <w:iCs/>
    </w:rPr>
  </w:style>
  <w:style w:type="paragraph" w:customStyle="1" w:styleId="852">
    <w:name w:val="xl1927"/>
    <w:basedOn w:val="1"/>
    <w:qFormat/>
    <w:uiPriority w:val="0"/>
    <w:pPr>
      <w:shd w:val="clear" w:color="auto" w:fill="FFFFFF"/>
      <w:spacing w:before="100" w:beforeAutospacing="1" w:after="100" w:afterAutospacing="1"/>
      <w:jc w:val="center"/>
    </w:pPr>
    <w:rPr>
      <w:i/>
      <w:iCs/>
    </w:rPr>
  </w:style>
  <w:style w:type="paragraph" w:customStyle="1" w:styleId="853">
    <w:name w:val="xl1928"/>
    <w:basedOn w:val="1"/>
    <w:qFormat/>
    <w:uiPriority w:val="0"/>
    <w:pPr>
      <w:pBdr>
        <w:top w:val="single" w:color="auto" w:sz="4" w:space="0"/>
        <w:bottom w:val="single" w:color="auto" w:sz="4" w:space="0"/>
      </w:pBdr>
      <w:shd w:val="clear" w:color="auto" w:fill="FFFFFF"/>
      <w:spacing w:before="100" w:beforeAutospacing="1" w:after="100" w:afterAutospacing="1"/>
      <w:jc w:val="center"/>
    </w:pPr>
  </w:style>
  <w:style w:type="paragraph" w:customStyle="1" w:styleId="854">
    <w:name w:val="xl1929"/>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55">
    <w:name w:val="xl1930"/>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pPr>
  </w:style>
  <w:style w:type="paragraph" w:customStyle="1" w:styleId="856">
    <w:name w:val="xl1931"/>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57">
    <w:name w:val="xl193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58">
    <w:name w:val="xl1933"/>
    <w:basedOn w:val="1"/>
    <w:qFormat/>
    <w:uiPriority w:val="0"/>
    <w:pPr>
      <w:pBdr>
        <w:top w:val="single" w:color="auto" w:sz="4" w:space="0"/>
        <w:bottom w:val="single" w:color="auto" w:sz="4" w:space="0"/>
      </w:pBdr>
      <w:shd w:val="clear" w:color="auto" w:fill="FFFFFF"/>
      <w:spacing w:before="100" w:beforeAutospacing="1" w:after="100" w:afterAutospacing="1"/>
      <w:jc w:val="center"/>
    </w:pPr>
  </w:style>
  <w:style w:type="paragraph" w:customStyle="1" w:styleId="859">
    <w:name w:val="xl1934"/>
    <w:basedOn w:val="1"/>
    <w:qFormat/>
    <w:uiPriority w:val="0"/>
    <w:pPr>
      <w:pBdr>
        <w:left w:val="single" w:color="auto" w:sz="4" w:space="0"/>
        <w:right w:val="single" w:color="auto" w:sz="4" w:space="0"/>
      </w:pBdr>
      <w:shd w:val="clear" w:color="auto" w:fill="FFFFFF"/>
      <w:spacing w:before="100" w:beforeAutospacing="1" w:after="100" w:afterAutospacing="1"/>
      <w:jc w:val="center"/>
    </w:pPr>
  </w:style>
  <w:style w:type="paragraph" w:customStyle="1" w:styleId="860">
    <w:name w:val="xl193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61">
    <w:name w:val="xl1936"/>
    <w:basedOn w:val="1"/>
    <w:qFormat/>
    <w:uiPriority w:val="0"/>
    <w:pPr>
      <w:pBdr>
        <w:bottom w:val="single" w:color="auto" w:sz="4" w:space="0"/>
      </w:pBdr>
      <w:shd w:val="clear" w:color="auto" w:fill="FFFFFF"/>
      <w:spacing w:before="100" w:beforeAutospacing="1" w:after="100" w:afterAutospacing="1"/>
    </w:pPr>
    <w:rPr>
      <w:i/>
      <w:iCs/>
    </w:rPr>
  </w:style>
  <w:style w:type="paragraph" w:customStyle="1" w:styleId="862">
    <w:name w:val="xl1937"/>
    <w:basedOn w:val="1"/>
    <w:qFormat/>
    <w:uiPriority w:val="0"/>
    <w:pPr>
      <w:pBdr>
        <w:bottom w:val="single" w:color="auto" w:sz="4" w:space="0"/>
      </w:pBdr>
      <w:shd w:val="clear" w:color="auto" w:fill="FFFFFF"/>
      <w:spacing w:before="100" w:beforeAutospacing="1" w:after="100" w:afterAutospacing="1"/>
      <w:jc w:val="center"/>
    </w:pPr>
  </w:style>
  <w:style w:type="paragraph" w:customStyle="1" w:styleId="863">
    <w:name w:val="xl1938"/>
    <w:basedOn w:val="1"/>
    <w:qFormat/>
    <w:uiPriority w:val="0"/>
    <w:pPr>
      <w:pBdr>
        <w:bottom w:val="single" w:color="auto" w:sz="4" w:space="0"/>
        <w:right w:val="single" w:color="auto" w:sz="4" w:space="0"/>
      </w:pBdr>
      <w:shd w:val="clear" w:color="auto" w:fill="FFFFFF"/>
      <w:spacing w:before="100" w:beforeAutospacing="1" w:after="100" w:afterAutospacing="1"/>
      <w:jc w:val="center"/>
    </w:pPr>
  </w:style>
  <w:style w:type="paragraph" w:customStyle="1" w:styleId="864">
    <w:name w:val="xl193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style>
  <w:style w:type="paragraph" w:customStyle="1" w:styleId="865">
    <w:name w:val="xl1940"/>
    <w:basedOn w:val="1"/>
    <w:qFormat/>
    <w:uiPriority w:val="0"/>
    <w:pPr>
      <w:pBdr>
        <w:top w:val="single" w:color="auto" w:sz="4" w:space="0"/>
        <w:bottom w:val="single" w:color="auto" w:sz="4" w:space="0"/>
      </w:pBdr>
      <w:shd w:val="clear" w:color="auto" w:fill="FFFFFF"/>
      <w:spacing w:before="100" w:beforeAutospacing="1" w:after="100" w:afterAutospacing="1"/>
    </w:pPr>
    <w:rPr>
      <w:i/>
      <w:iCs/>
    </w:rPr>
  </w:style>
  <w:style w:type="paragraph" w:customStyle="1" w:styleId="866">
    <w:name w:val="xl1941"/>
    <w:basedOn w:val="1"/>
    <w:qFormat/>
    <w:uiPriority w:val="0"/>
    <w:pPr>
      <w:pBdr>
        <w:right w:val="single" w:color="auto" w:sz="4" w:space="0"/>
      </w:pBdr>
      <w:shd w:val="clear" w:color="auto" w:fill="FFFFFF"/>
      <w:spacing w:before="100" w:beforeAutospacing="1" w:after="100" w:afterAutospacing="1"/>
      <w:jc w:val="center"/>
    </w:pPr>
    <w:rPr>
      <w:i/>
      <w:iCs/>
    </w:rPr>
  </w:style>
  <w:style w:type="paragraph" w:customStyle="1" w:styleId="867">
    <w:name w:val="xl1942"/>
    <w:basedOn w:val="1"/>
    <w:qFormat/>
    <w:uiPriority w:val="0"/>
    <w:pPr>
      <w:pBdr>
        <w:bottom w:val="single" w:color="auto" w:sz="4" w:space="0"/>
      </w:pBdr>
      <w:shd w:val="clear" w:color="auto" w:fill="FFFFFF"/>
      <w:spacing w:before="100" w:beforeAutospacing="1" w:after="100" w:afterAutospacing="1"/>
      <w:jc w:val="center"/>
    </w:pPr>
    <w:rPr>
      <w:i/>
      <w:iCs/>
    </w:rPr>
  </w:style>
  <w:style w:type="paragraph" w:customStyle="1" w:styleId="868">
    <w:name w:val="xl1943"/>
    <w:basedOn w:val="1"/>
    <w:qFormat/>
    <w:uiPriority w:val="0"/>
    <w:pPr>
      <w:pBdr>
        <w:bottom w:val="single" w:color="auto" w:sz="4" w:space="0"/>
        <w:right w:val="single" w:color="auto" w:sz="4" w:space="0"/>
      </w:pBdr>
      <w:shd w:val="clear" w:color="auto" w:fill="FFFFFF"/>
      <w:spacing w:before="100" w:beforeAutospacing="1" w:after="100" w:afterAutospacing="1"/>
      <w:jc w:val="center"/>
    </w:pPr>
    <w:rPr>
      <w:i/>
      <w:iCs/>
    </w:rPr>
  </w:style>
  <w:style w:type="paragraph" w:customStyle="1" w:styleId="869">
    <w:name w:val="xl1944"/>
    <w:basedOn w:val="1"/>
    <w:qFormat/>
    <w:uiPriority w:val="0"/>
    <w:pPr>
      <w:pBdr>
        <w:left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70">
    <w:name w:val="xl1945"/>
    <w:basedOn w:val="1"/>
    <w:qFormat/>
    <w:uiPriority w:val="0"/>
    <w:pPr>
      <w:pBdr>
        <w:left w:val="single" w:color="auto" w:sz="4" w:space="0"/>
        <w:bottom w:val="single" w:color="auto" w:sz="4" w:space="0"/>
      </w:pBdr>
      <w:shd w:val="clear" w:color="auto" w:fill="FFFFFF"/>
      <w:spacing w:before="100" w:beforeAutospacing="1" w:after="100" w:afterAutospacing="1"/>
      <w:jc w:val="center"/>
    </w:pPr>
  </w:style>
  <w:style w:type="paragraph" w:customStyle="1" w:styleId="871">
    <w:name w:val="xl1946"/>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pPr>
  </w:style>
  <w:style w:type="paragraph" w:customStyle="1" w:styleId="872">
    <w:name w:val="xl1947"/>
    <w:basedOn w:val="1"/>
    <w:qFormat/>
    <w:uiPriority w:val="0"/>
    <w:pPr>
      <w:pBdr>
        <w:top w:val="single" w:color="auto" w:sz="4" w:space="0"/>
        <w:left w:val="single" w:color="auto" w:sz="4" w:space="0"/>
      </w:pBdr>
      <w:shd w:val="clear" w:color="auto" w:fill="FFFFFF"/>
      <w:spacing w:before="100" w:beforeAutospacing="1" w:after="100" w:afterAutospacing="1"/>
    </w:pPr>
  </w:style>
  <w:style w:type="paragraph" w:customStyle="1" w:styleId="873">
    <w:name w:val="xl1948"/>
    <w:basedOn w:val="1"/>
    <w:qFormat/>
    <w:uiPriority w:val="0"/>
    <w:pPr>
      <w:pBdr>
        <w:left w:val="single" w:color="auto" w:sz="4" w:space="0"/>
        <w:bottom w:val="single" w:color="auto" w:sz="4" w:space="0"/>
      </w:pBdr>
      <w:shd w:val="clear" w:color="auto" w:fill="FFFFFF"/>
      <w:spacing w:before="100" w:beforeAutospacing="1" w:after="100" w:afterAutospacing="1"/>
    </w:pPr>
  </w:style>
  <w:style w:type="paragraph" w:customStyle="1" w:styleId="874">
    <w:name w:val="xl1949"/>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style>
  <w:style w:type="paragraph" w:customStyle="1" w:styleId="875">
    <w:name w:val="xl1950"/>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pPr>
  </w:style>
  <w:style w:type="paragraph" w:customStyle="1" w:styleId="876">
    <w:name w:val="xl1951"/>
    <w:basedOn w:val="1"/>
    <w:qFormat/>
    <w:uiPriority w:val="0"/>
    <w:pPr>
      <w:pBdr>
        <w:top w:val="single" w:color="auto" w:sz="4" w:space="0"/>
        <w:bottom w:val="single" w:color="auto" w:sz="4" w:space="0"/>
      </w:pBdr>
      <w:shd w:val="clear" w:color="auto" w:fill="FFFFFF"/>
      <w:spacing w:before="100" w:beforeAutospacing="1" w:after="100" w:afterAutospacing="1"/>
    </w:pPr>
  </w:style>
  <w:style w:type="paragraph" w:customStyle="1" w:styleId="877">
    <w:name w:val="xl1952"/>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78">
    <w:name w:val="xl1953"/>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pPr>
  </w:style>
  <w:style w:type="paragraph" w:customStyle="1" w:styleId="879">
    <w:name w:val="xl1954"/>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pPr>
  </w:style>
  <w:style w:type="paragraph" w:customStyle="1" w:styleId="880">
    <w:name w:val="xl1955"/>
    <w:basedOn w:val="1"/>
    <w:qFormat/>
    <w:uiPriority w:val="0"/>
    <w:pPr>
      <w:pBdr>
        <w:top w:val="single" w:color="auto" w:sz="4" w:space="0"/>
        <w:left w:val="single" w:color="auto" w:sz="4" w:space="0"/>
      </w:pBdr>
      <w:shd w:val="clear" w:color="auto" w:fill="FFFFFF"/>
      <w:spacing w:before="100" w:beforeAutospacing="1" w:after="100" w:afterAutospacing="1"/>
    </w:pPr>
  </w:style>
  <w:style w:type="paragraph" w:customStyle="1" w:styleId="881">
    <w:name w:val="xl1956"/>
    <w:basedOn w:val="1"/>
    <w:qFormat/>
    <w:uiPriority w:val="0"/>
    <w:pPr>
      <w:pBdr>
        <w:left w:val="single" w:color="auto" w:sz="4" w:space="0"/>
        <w:bottom w:val="single" w:color="auto" w:sz="4" w:space="0"/>
      </w:pBdr>
      <w:shd w:val="clear" w:color="auto" w:fill="FFFFFF"/>
      <w:spacing w:before="100" w:beforeAutospacing="1" w:after="100" w:afterAutospacing="1"/>
    </w:pPr>
  </w:style>
  <w:style w:type="paragraph" w:customStyle="1" w:styleId="882">
    <w:name w:val="xl1957"/>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style>
  <w:style w:type="paragraph" w:customStyle="1" w:styleId="883">
    <w:name w:val="xl1958"/>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pPr>
  </w:style>
  <w:style w:type="paragraph" w:customStyle="1" w:styleId="884">
    <w:name w:val="xl1959"/>
    <w:basedOn w:val="1"/>
    <w:qFormat/>
    <w:uiPriority w:val="0"/>
    <w:pPr>
      <w:pBdr>
        <w:top w:val="single" w:color="auto" w:sz="4" w:space="0"/>
        <w:bottom w:val="single" w:color="auto" w:sz="4" w:space="0"/>
      </w:pBdr>
      <w:shd w:val="clear" w:color="auto" w:fill="FFFFFF"/>
      <w:spacing w:before="100" w:beforeAutospacing="1" w:after="100" w:afterAutospacing="1"/>
    </w:pPr>
  </w:style>
  <w:style w:type="paragraph" w:customStyle="1" w:styleId="885">
    <w:name w:val="xl1960"/>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pPr>
  </w:style>
  <w:style w:type="paragraph" w:customStyle="1" w:styleId="886">
    <w:name w:val="Style1"/>
    <w:basedOn w:val="1"/>
    <w:qFormat/>
    <w:uiPriority w:val="99"/>
    <w:pPr>
      <w:widowControl w:val="0"/>
      <w:autoSpaceDE w:val="0"/>
      <w:autoSpaceDN w:val="0"/>
      <w:adjustRightInd w:val="0"/>
      <w:spacing w:line="620" w:lineRule="exact"/>
      <w:ind w:firstLine="1660"/>
      <w:jc w:val="both"/>
    </w:pPr>
  </w:style>
  <w:style w:type="paragraph" w:customStyle="1" w:styleId="887">
    <w:name w:val="Style2"/>
    <w:basedOn w:val="1"/>
    <w:qFormat/>
    <w:uiPriority w:val="99"/>
    <w:pPr>
      <w:widowControl w:val="0"/>
      <w:autoSpaceDE w:val="0"/>
      <w:autoSpaceDN w:val="0"/>
      <w:adjustRightInd w:val="0"/>
    </w:pPr>
  </w:style>
  <w:style w:type="character" w:customStyle="1" w:styleId="888">
    <w:name w:val="Заголовок 7 Знак1"/>
    <w:basedOn w:val="88"/>
    <w:semiHidden/>
    <w:uiPriority w:val="9"/>
    <w:rPr>
      <w:rFonts w:ascii="Cambria" w:hAnsi="Cambria" w:eastAsia="Times New Roman" w:cs="Times New Roman"/>
      <w:i/>
      <w:iCs/>
      <w:color w:val="404040"/>
      <w:sz w:val="24"/>
      <w:szCs w:val="24"/>
    </w:rPr>
  </w:style>
  <w:style w:type="character" w:customStyle="1" w:styleId="889">
    <w:name w:val="Заголовок 8 Знак1"/>
    <w:basedOn w:val="88"/>
    <w:semiHidden/>
    <w:uiPriority w:val="0"/>
    <w:rPr>
      <w:rFonts w:ascii="Cambria" w:hAnsi="Cambria" w:eastAsia="Times New Roman" w:cs="Times New Roman"/>
      <w:color w:val="404040"/>
    </w:rPr>
  </w:style>
  <w:style w:type="character" w:customStyle="1" w:styleId="890">
    <w:name w:val="Заголовок 9 Знак1"/>
    <w:basedOn w:val="88"/>
    <w:semiHidden/>
    <w:uiPriority w:val="0"/>
    <w:rPr>
      <w:rFonts w:ascii="Cambria" w:hAnsi="Cambria" w:eastAsia="Times New Roman" w:cs="Times New Roman"/>
      <w:i/>
      <w:iCs/>
      <w:color w:val="404040"/>
    </w:rPr>
  </w:style>
  <w:style w:type="character" w:customStyle="1" w:styleId="891">
    <w:name w:val="Текст концевой сноски Знак1"/>
    <w:basedOn w:val="88"/>
    <w:semiHidden/>
    <w:uiPriority w:val="99"/>
    <w:rPr>
      <w:rFonts w:ascii="Times New Roman" w:hAnsi="Times New Roman" w:eastAsia="Times New Roman"/>
    </w:rPr>
  </w:style>
  <w:style w:type="character" w:customStyle="1" w:styleId="892">
    <w:name w:val="Красная строка 2 Знак1"/>
    <w:basedOn w:val="832"/>
    <w:semiHidden/>
    <w:uiPriority w:val="0"/>
    <w:rPr>
      <w:rFonts w:ascii="Times New Roman" w:hAnsi="Times New Roman" w:eastAsia="Times New Roman"/>
      <w:sz w:val="24"/>
      <w:szCs w:val="24"/>
    </w:rPr>
  </w:style>
  <w:style w:type="character" w:customStyle="1" w:styleId="893">
    <w:name w:val="Схема документа Знак1"/>
    <w:basedOn w:val="88"/>
    <w:semiHidden/>
    <w:uiPriority w:val="0"/>
    <w:rPr>
      <w:rFonts w:ascii="Tahoma" w:hAnsi="Tahoma" w:eastAsia="Times New Roman" w:cs="Tahoma"/>
      <w:sz w:val="16"/>
      <w:szCs w:val="16"/>
    </w:rPr>
  </w:style>
  <w:style w:type="character" w:customStyle="1" w:styleId="894">
    <w:name w:val="Текст выноски Знак1"/>
    <w:basedOn w:val="88"/>
    <w:semiHidden/>
    <w:uiPriority w:val="99"/>
    <w:rPr>
      <w:rFonts w:ascii="Tahoma" w:hAnsi="Tahoma" w:eastAsia="Times New Roman" w:cs="Tahoma"/>
      <w:sz w:val="16"/>
      <w:szCs w:val="16"/>
    </w:rPr>
  </w:style>
  <w:style w:type="character" w:customStyle="1" w:styleId="895">
    <w:name w:val="Тема примечания Знак1"/>
    <w:basedOn w:val="833"/>
    <w:semiHidden/>
    <w:uiPriority w:val="0"/>
    <w:rPr>
      <w:rFonts w:ascii="Times New Roman" w:hAnsi="Times New Roman" w:eastAsia="Times New Roman"/>
      <w:b/>
      <w:bCs/>
    </w:rPr>
  </w:style>
  <w:style w:type="character" w:customStyle="1" w:styleId="896">
    <w:name w:val="Основной текст 2 Знак1"/>
    <w:basedOn w:val="88"/>
    <w:semiHidden/>
    <w:uiPriority w:val="0"/>
    <w:rPr>
      <w:rFonts w:ascii="Times New Roman" w:hAnsi="Times New Roman" w:eastAsia="Times New Roman"/>
      <w:sz w:val="24"/>
      <w:szCs w:val="24"/>
    </w:rPr>
  </w:style>
  <w:style w:type="character" w:customStyle="1" w:styleId="897">
    <w:name w:val="Основной текст с отступом 3 Знак1"/>
    <w:basedOn w:val="88"/>
    <w:semiHidden/>
    <w:uiPriority w:val="0"/>
    <w:rPr>
      <w:rFonts w:ascii="Times New Roman" w:hAnsi="Times New Roman" w:eastAsia="Times New Roman"/>
      <w:sz w:val="16"/>
      <w:szCs w:val="16"/>
    </w:rPr>
  </w:style>
  <w:style w:type="character" w:customStyle="1" w:styleId="898">
    <w:name w:val="Основной текст 3 Знак1"/>
    <w:basedOn w:val="88"/>
    <w:semiHidden/>
    <w:uiPriority w:val="99"/>
    <w:rPr>
      <w:rFonts w:ascii="Times New Roman" w:hAnsi="Times New Roman" w:eastAsia="Times New Roman"/>
      <w:sz w:val="16"/>
      <w:szCs w:val="16"/>
    </w:rPr>
  </w:style>
  <w:style w:type="character" w:customStyle="1" w:styleId="899">
    <w:name w:val="Знак Знак Знак1"/>
    <w:uiPriority w:val="0"/>
    <w:rPr>
      <w:rFonts w:hint="default" w:ascii="Arial" w:hAnsi="Arial" w:cs="Arial"/>
      <w:b/>
      <w:bCs/>
      <w:i/>
      <w:sz w:val="24"/>
      <w:szCs w:val="26"/>
      <w:lang w:val="ru-RU" w:eastAsia="ar-SA" w:bidi="ar-SA"/>
    </w:rPr>
  </w:style>
  <w:style w:type="character" w:customStyle="1" w:styleId="900">
    <w:name w:val="Прощание Знак1"/>
    <w:basedOn w:val="88"/>
    <w:semiHidden/>
    <w:uiPriority w:val="0"/>
    <w:rPr>
      <w:rFonts w:ascii="Times New Roman" w:hAnsi="Times New Roman" w:eastAsia="Times New Roman"/>
      <w:sz w:val="24"/>
      <w:szCs w:val="24"/>
    </w:rPr>
  </w:style>
  <w:style w:type="character" w:customStyle="1" w:styleId="901">
    <w:name w:val="Цитата 2 Знак1"/>
    <w:basedOn w:val="88"/>
    <w:uiPriority w:val="99"/>
    <w:rPr>
      <w:rFonts w:ascii="Times New Roman" w:hAnsi="Times New Roman" w:eastAsia="Times New Roman"/>
      <w:i/>
      <w:iCs/>
      <w:color w:val="000000"/>
      <w:sz w:val="24"/>
      <w:szCs w:val="24"/>
    </w:rPr>
  </w:style>
  <w:style w:type="character" w:customStyle="1" w:styleId="902">
    <w:name w:val="Выделенная цитата Знак1"/>
    <w:basedOn w:val="88"/>
    <w:uiPriority w:val="99"/>
    <w:rPr>
      <w:rFonts w:ascii="Times New Roman" w:hAnsi="Times New Roman" w:eastAsia="Times New Roman"/>
      <w:b/>
      <w:bCs/>
      <w:i/>
      <w:iCs/>
      <w:color w:val="4F81BD"/>
      <w:sz w:val="24"/>
      <w:szCs w:val="24"/>
    </w:rPr>
  </w:style>
  <w:style w:type="character" w:customStyle="1" w:styleId="903">
    <w:name w:val="Электронная подпись Знак1"/>
    <w:basedOn w:val="88"/>
    <w:semiHidden/>
    <w:uiPriority w:val="99"/>
    <w:rPr>
      <w:rFonts w:ascii="Times New Roman" w:hAnsi="Times New Roman" w:eastAsia="Times New Roman"/>
      <w:sz w:val="24"/>
      <w:szCs w:val="24"/>
    </w:rPr>
  </w:style>
  <w:style w:type="character" w:customStyle="1" w:styleId="904">
    <w:name w:val="Красная строка Знак1"/>
    <w:basedOn w:val="88"/>
    <w:semiHidden/>
    <w:uiPriority w:val="0"/>
    <w:rPr>
      <w:rFonts w:ascii="Times New Roman" w:hAnsi="Times New Roman" w:eastAsia="Times New Roman"/>
      <w:sz w:val="24"/>
      <w:szCs w:val="24"/>
    </w:rPr>
  </w:style>
  <w:style w:type="character" w:customStyle="1" w:styleId="905">
    <w:name w:val="Дата Знак1"/>
    <w:basedOn w:val="88"/>
    <w:semiHidden/>
    <w:uiPriority w:val="99"/>
    <w:rPr>
      <w:rFonts w:ascii="Times New Roman" w:hAnsi="Times New Roman" w:eastAsia="Times New Roman"/>
      <w:sz w:val="24"/>
      <w:szCs w:val="24"/>
    </w:rPr>
  </w:style>
  <w:style w:type="character" w:customStyle="1" w:styleId="906">
    <w:name w:val="Заголовок записки Знак1"/>
    <w:basedOn w:val="88"/>
    <w:semiHidden/>
    <w:uiPriority w:val="99"/>
    <w:rPr>
      <w:rFonts w:ascii="Times New Roman" w:hAnsi="Times New Roman" w:eastAsia="Times New Roman"/>
      <w:sz w:val="24"/>
      <w:szCs w:val="24"/>
    </w:rPr>
  </w:style>
  <w:style w:type="character" w:customStyle="1" w:styleId="907">
    <w:name w:val="Подпись Знак1"/>
    <w:basedOn w:val="88"/>
    <w:semiHidden/>
    <w:uiPriority w:val="99"/>
    <w:rPr>
      <w:rFonts w:ascii="Times New Roman" w:hAnsi="Times New Roman" w:eastAsia="Times New Roman"/>
      <w:sz w:val="24"/>
      <w:szCs w:val="24"/>
    </w:rPr>
  </w:style>
  <w:style w:type="character" w:customStyle="1" w:styleId="908">
    <w:name w:val="Приветствие Знак1"/>
    <w:basedOn w:val="88"/>
    <w:semiHidden/>
    <w:uiPriority w:val="99"/>
    <w:rPr>
      <w:rFonts w:ascii="Times New Roman" w:hAnsi="Times New Roman" w:eastAsia="Times New Roman"/>
      <w:sz w:val="24"/>
      <w:szCs w:val="24"/>
    </w:rPr>
  </w:style>
  <w:style w:type="character" w:customStyle="1" w:styleId="909">
    <w:name w:val="Текст макроса Знак1"/>
    <w:basedOn w:val="88"/>
    <w:semiHidden/>
    <w:uiPriority w:val="99"/>
    <w:rPr>
      <w:rFonts w:ascii="Consolas" w:hAnsi="Consolas" w:eastAsia="Times New Roman" w:cs="Consolas"/>
    </w:rPr>
  </w:style>
  <w:style w:type="character" w:customStyle="1" w:styleId="910">
    <w:name w:val="Шапка Знак1"/>
    <w:basedOn w:val="88"/>
    <w:semiHidden/>
    <w:uiPriority w:val="99"/>
    <w:rPr>
      <w:rFonts w:ascii="Cambria" w:hAnsi="Cambria" w:eastAsia="Times New Roman" w:cs="Times New Roman"/>
      <w:sz w:val="24"/>
      <w:szCs w:val="24"/>
      <w:shd w:val="pct20" w:color="auto" w:fill="auto"/>
    </w:rPr>
  </w:style>
  <w:style w:type="character" w:customStyle="1" w:styleId="911">
    <w:name w:val="Основной текст + Arial"/>
    <w:uiPriority w:val="0"/>
    <w:rPr>
      <w:rFonts w:hint="default" w:ascii="Garamond" w:hAnsi="Garamond" w:eastAsia="Garamond" w:cs="Garamond"/>
      <w:b/>
      <w:bCs/>
      <w:color w:val="000000"/>
      <w:spacing w:val="0"/>
      <w:w w:val="100"/>
      <w:position w:val="0"/>
      <w:sz w:val="13"/>
      <w:szCs w:val="13"/>
      <w:u w:val="none"/>
      <w:shd w:val="clear" w:color="auto" w:fill="FFFFFF"/>
      <w:lang w:val="ru-RU" w:eastAsia="ru-RU" w:bidi="ru-RU"/>
    </w:rPr>
  </w:style>
  <w:style w:type="character" w:customStyle="1" w:styleId="912">
    <w:name w:val="Font Style59"/>
    <w:uiPriority w:val="0"/>
    <w:rPr>
      <w:rFonts w:hint="default" w:ascii="Times New Roman" w:hAnsi="Times New Roman" w:cs="Times New Roman"/>
      <w:sz w:val="26"/>
      <w:szCs w:val="26"/>
    </w:rPr>
  </w:style>
  <w:style w:type="character" w:customStyle="1" w:styleId="913">
    <w:name w:val="Font Style13"/>
    <w:basedOn w:val="88"/>
    <w:uiPriority w:val="99"/>
    <w:rPr>
      <w:rFonts w:hint="default" w:ascii="Cambria" w:hAnsi="Cambria" w:cs="Cambria"/>
      <w:i/>
      <w:iCs/>
      <w:spacing w:val="90"/>
      <w:sz w:val="40"/>
      <w:szCs w:val="40"/>
    </w:rPr>
  </w:style>
  <w:style w:type="paragraph" w:customStyle="1" w:styleId="914">
    <w:name w:val="Обычный 13 Знак3"/>
    <w:basedOn w:val="1"/>
    <w:qFormat/>
    <w:uiPriority w:val="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915">
    <w:name w:val="Обычный 13"/>
    <w:basedOn w:val="1"/>
    <w:link w:val="916"/>
    <w:qFormat/>
    <w:uiPriority w:val="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916">
    <w:name w:val="Обычный 13 Знак5"/>
    <w:link w:val="915"/>
    <w:uiPriority w:val="0"/>
    <w:rPr>
      <w:rFonts w:ascii="Times New Roman" w:hAnsi="Times New Roman" w:eastAsia="Times New Roman"/>
      <w:sz w:val="26"/>
      <w:szCs w:val="26"/>
    </w:rPr>
  </w:style>
  <w:style w:type="paragraph" w:customStyle="1" w:styleId="917">
    <w:name w:val="Текст1"/>
    <w:basedOn w:val="1"/>
    <w:qFormat/>
    <w:uiPriority w:val="0"/>
    <w:pPr>
      <w:tabs>
        <w:tab w:val="left" w:pos="1701"/>
      </w:tabs>
      <w:suppressAutoHyphens/>
      <w:spacing w:before="80" w:line="252" w:lineRule="auto"/>
      <w:ind w:firstLine="852"/>
      <w:jc w:val="both"/>
    </w:pPr>
    <w:rPr>
      <w:rFonts w:eastAsia="SimSun"/>
      <w:sz w:val="28"/>
      <w:szCs w:val="28"/>
      <w:lang w:eastAsia="ar-SA"/>
    </w:rPr>
  </w:style>
  <w:style w:type="character" w:customStyle="1" w:styleId="918">
    <w:name w:val="заголовок 4 Знак"/>
    <w:uiPriority w:val="0"/>
    <w:rPr>
      <w:rFonts w:ascii="Arial" w:hAnsi="Arial"/>
      <w:i/>
      <w:sz w:val="24"/>
      <w:szCs w:val="24"/>
      <w:lang w:val="ru-RU" w:eastAsia="ru-RU" w:bidi="ar-SA"/>
    </w:rPr>
  </w:style>
  <w:style w:type="paragraph" w:customStyle="1" w:styleId="919">
    <w:name w:val="основной"/>
    <w:basedOn w:val="1"/>
    <w:qFormat/>
    <w:uiPriority w:val="0"/>
    <w:pPr>
      <w:ind w:firstLine="720"/>
      <w:jc w:val="both"/>
    </w:pPr>
    <w:rPr>
      <w:szCs w:val="20"/>
    </w:rPr>
  </w:style>
  <w:style w:type="character" w:customStyle="1" w:styleId="920">
    <w:name w:val="Font Style23"/>
    <w:uiPriority w:val="0"/>
    <w:rPr>
      <w:rFonts w:ascii="Times New Roman" w:hAnsi="Times New Roman" w:cs="Times New Roman"/>
      <w:sz w:val="18"/>
      <w:szCs w:val="18"/>
    </w:rPr>
  </w:style>
  <w:style w:type="paragraph" w:customStyle="1" w:styleId="921">
    <w:name w:val="Текст отчета 2"/>
    <w:basedOn w:val="1"/>
    <w:link w:val="922"/>
    <w:qFormat/>
    <w:uiPriority w:val="99"/>
    <w:pPr>
      <w:spacing w:line="276" w:lineRule="auto"/>
      <w:ind w:firstLine="709"/>
      <w:jc w:val="both"/>
    </w:pPr>
    <w:rPr>
      <w:szCs w:val="28"/>
    </w:rPr>
  </w:style>
  <w:style w:type="character" w:customStyle="1" w:styleId="922">
    <w:name w:val="Текст отчета 2 Знак"/>
    <w:link w:val="921"/>
    <w:locked/>
    <w:uiPriority w:val="99"/>
    <w:rPr>
      <w:rFonts w:ascii="Times New Roman" w:hAnsi="Times New Roman" w:eastAsia="Times New Roman"/>
      <w:sz w:val="24"/>
      <w:szCs w:val="28"/>
    </w:rPr>
  </w:style>
  <w:style w:type="character" w:customStyle="1" w:styleId="923">
    <w:name w:val="Название рисунка Знак"/>
    <w:link w:val="924"/>
    <w:locked/>
    <w:uiPriority w:val="0"/>
    <w:rPr>
      <w:sz w:val="24"/>
      <w:szCs w:val="24"/>
      <w:lang w:eastAsia="en-US"/>
    </w:rPr>
  </w:style>
  <w:style w:type="paragraph" w:customStyle="1" w:styleId="924">
    <w:name w:val="Название рисунка"/>
    <w:basedOn w:val="1"/>
    <w:next w:val="1"/>
    <w:link w:val="923"/>
    <w:qFormat/>
    <w:uiPriority w:val="0"/>
    <w:pPr>
      <w:numPr>
        <w:ilvl w:val="0"/>
        <w:numId w:val="13"/>
      </w:numPr>
      <w:spacing w:before="120" w:after="360"/>
      <w:ind w:left="1559" w:hanging="1559"/>
      <w:contextualSpacing/>
      <w:jc w:val="both"/>
    </w:pPr>
    <w:rPr>
      <w:rFonts w:ascii="Calibri" w:hAnsi="Calibri" w:eastAsia="Calibri"/>
      <w:lang w:eastAsia="en-US"/>
    </w:rPr>
  </w:style>
  <w:style w:type="character" w:customStyle="1" w:styleId="925">
    <w:name w:val="List Paragraph Char"/>
    <w:link w:val="557"/>
    <w:locked/>
    <w:uiPriority w:val="0"/>
    <w:rPr>
      <w:rFonts w:eastAsia="Times New Roman"/>
      <w:sz w:val="24"/>
      <w:szCs w:val="24"/>
      <w:lang w:val="en-US" w:eastAsia="ar-SA"/>
    </w:rPr>
  </w:style>
  <w:style w:type="character" w:customStyle="1" w:styleId="926">
    <w:name w:val="Текст отчета Знак"/>
    <w:link w:val="927"/>
    <w:locked/>
    <w:uiPriority w:val="0"/>
    <w:rPr>
      <w:sz w:val="24"/>
    </w:rPr>
  </w:style>
  <w:style w:type="paragraph" w:customStyle="1" w:styleId="927">
    <w:name w:val="Текст отчета"/>
    <w:basedOn w:val="1"/>
    <w:link w:val="926"/>
    <w:qFormat/>
    <w:uiPriority w:val="0"/>
    <w:pPr>
      <w:spacing w:before="120" w:after="120" w:line="276" w:lineRule="auto"/>
      <w:ind w:firstLine="720"/>
      <w:jc w:val="both"/>
    </w:pPr>
    <w:rPr>
      <w:rFonts w:ascii="Calibri" w:hAnsi="Calibri" w:eastAsia="Calibri"/>
      <w:szCs w:val="20"/>
    </w:rPr>
  </w:style>
  <w:style w:type="paragraph" w:customStyle="1" w:styleId="928">
    <w:name w:val="Заголовок Прил"/>
    <w:basedOn w:val="1"/>
    <w:next w:val="1"/>
    <w:qFormat/>
    <w:uiPriority w:val="0"/>
    <w:pPr>
      <w:pageBreakBefore/>
      <w:spacing w:before="4000" w:line="360" w:lineRule="auto"/>
      <w:ind w:left="2268" w:hanging="1701"/>
      <w:outlineLvl w:val="0"/>
    </w:pPr>
    <w:rPr>
      <w:rFonts w:eastAsia="Calibri"/>
      <w:b/>
      <w:kern w:val="24"/>
      <w:sz w:val="36"/>
      <w:szCs w:val="20"/>
    </w:rPr>
  </w:style>
  <w:style w:type="paragraph" w:customStyle="1" w:styleId="929">
    <w:name w:val="ВЭС"/>
    <w:basedOn w:val="1"/>
    <w:next w:val="42"/>
    <w:qFormat/>
    <w:uiPriority w:val="0"/>
    <w:pPr>
      <w:keepNext/>
      <w:spacing w:before="120" w:after="120"/>
    </w:pPr>
    <w:rPr>
      <w:rFonts w:eastAsia="Calibri"/>
      <w:b/>
      <w:szCs w:val="20"/>
    </w:rPr>
  </w:style>
  <w:style w:type="paragraph" w:customStyle="1" w:styleId="930">
    <w:name w:val="ВЭС Название"/>
    <w:basedOn w:val="1"/>
    <w:next w:val="929"/>
    <w:qFormat/>
    <w:uiPriority w:val="0"/>
    <w:pPr>
      <w:pageBreakBefore/>
      <w:spacing w:line="300" w:lineRule="exact"/>
      <w:ind w:left="1418" w:hanging="1418"/>
    </w:pPr>
    <w:rPr>
      <w:rFonts w:eastAsia="Calibri"/>
      <w:b/>
      <w:caps/>
      <w:szCs w:val="20"/>
    </w:rPr>
  </w:style>
  <w:style w:type="paragraph" w:customStyle="1" w:styleId="931">
    <w:name w:val="Заголовок Прил1"/>
    <w:basedOn w:val="1"/>
    <w:next w:val="1"/>
    <w:qFormat/>
    <w:uiPriority w:val="0"/>
    <w:pPr>
      <w:pageBreakBefore/>
      <w:spacing w:after="120"/>
      <w:ind w:firstLine="7088"/>
      <w:jc w:val="center"/>
      <w:outlineLvl w:val="0"/>
    </w:pPr>
    <w:rPr>
      <w:rFonts w:eastAsia="Calibri"/>
      <w:b/>
      <w:kern w:val="24"/>
      <w:szCs w:val="20"/>
    </w:rPr>
  </w:style>
  <w:style w:type="paragraph" w:customStyle="1" w:styleId="932">
    <w:name w:val="Рисунок"/>
    <w:basedOn w:val="42"/>
    <w:qFormat/>
    <w:uiPriority w:val="0"/>
    <w:pPr>
      <w:spacing w:after="120"/>
      <w:ind w:left="0"/>
      <w:jc w:val="center"/>
    </w:pPr>
    <w:rPr>
      <w:rFonts w:eastAsia="Calibri"/>
      <w:i/>
      <w:szCs w:val="20"/>
    </w:rPr>
  </w:style>
  <w:style w:type="paragraph" w:customStyle="1" w:styleId="933">
    <w:name w:val="Заголовок 1д"/>
    <w:basedOn w:val="1"/>
    <w:next w:val="42"/>
    <w:qFormat/>
    <w:uiPriority w:val="0"/>
    <w:pPr>
      <w:keepNext/>
      <w:numPr>
        <w:ilvl w:val="0"/>
        <w:numId w:val="14"/>
      </w:numPr>
      <w:spacing w:before="120" w:after="60"/>
      <w:jc w:val="center"/>
      <w:outlineLvl w:val="0"/>
    </w:pPr>
    <w:rPr>
      <w:rFonts w:eastAsia="Calibri"/>
      <w:b/>
      <w:sz w:val="22"/>
      <w:szCs w:val="20"/>
    </w:rPr>
  </w:style>
  <w:style w:type="paragraph" w:customStyle="1" w:styleId="934">
    <w:name w:val="Заголовок 2д"/>
    <w:basedOn w:val="1"/>
    <w:qFormat/>
    <w:uiPriority w:val="0"/>
    <w:pPr>
      <w:numPr>
        <w:ilvl w:val="1"/>
        <w:numId w:val="15"/>
      </w:numPr>
      <w:tabs>
        <w:tab w:val="left" w:pos="397"/>
      </w:tabs>
      <w:jc w:val="both"/>
      <w:outlineLvl w:val="1"/>
    </w:pPr>
    <w:rPr>
      <w:rFonts w:eastAsia="Calibri"/>
      <w:sz w:val="22"/>
      <w:szCs w:val="20"/>
    </w:rPr>
  </w:style>
  <w:style w:type="paragraph" w:customStyle="1" w:styleId="935">
    <w:name w:val="Название д"/>
    <w:basedOn w:val="1"/>
    <w:next w:val="42"/>
    <w:qFormat/>
    <w:uiPriority w:val="0"/>
    <w:pPr>
      <w:spacing w:after="120"/>
      <w:jc w:val="center"/>
    </w:pPr>
    <w:rPr>
      <w:rFonts w:eastAsia="Calibri"/>
      <w:b/>
      <w:bCs/>
      <w:caps/>
      <w:sz w:val="28"/>
      <w:szCs w:val="20"/>
    </w:rPr>
  </w:style>
  <w:style w:type="paragraph" w:customStyle="1" w:styleId="936">
    <w:name w:val="Заголовок 3д"/>
    <w:basedOn w:val="934"/>
    <w:qFormat/>
    <w:uiPriority w:val="0"/>
    <w:pPr>
      <w:numPr>
        <w:ilvl w:val="2"/>
      </w:numPr>
      <w:tabs>
        <w:tab w:val="left" w:pos="964"/>
        <w:tab w:val="clear" w:pos="397"/>
      </w:tabs>
    </w:pPr>
  </w:style>
  <w:style w:type="paragraph" w:customStyle="1" w:styleId="937">
    <w:name w:val="Знак Знак Знак2"/>
    <w:basedOn w:val="1"/>
    <w:qFormat/>
    <w:uiPriority w:val="0"/>
    <w:pPr>
      <w:tabs>
        <w:tab w:val="left" w:pos="360"/>
      </w:tabs>
      <w:spacing w:after="160" w:line="240" w:lineRule="exact"/>
    </w:pPr>
    <w:rPr>
      <w:rFonts w:ascii="Verdana" w:hAnsi="Verdana" w:eastAsia="Calibri" w:cs="Verdana"/>
      <w:sz w:val="20"/>
      <w:szCs w:val="20"/>
      <w:lang w:val="en-US" w:eastAsia="en-US"/>
    </w:rPr>
  </w:style>
  <w:style w:type="paragraph" w:customStyle="1" w:styleId="938">
    <w:name w:val="обычный отступ"/>
    <w:basedOn w:val="1"/>
    <w:qFormat/>
    <w:uiPriority w:val="0"/>
    <w:pPr>
      <w:ind w:firstLine="709"/>
    </w:pPr>
    <w:rPr>
      <w:rFonts w:ascii="Courier New" w:hAnsi="Courier New" w:eastAsia="Calibri"/>
      <w:sz w:val="22"/>
      <w:szCs w:val="20"/>
    </w:rPr>
  </w:style>
  <w:style w:type="paragraph" w:customStyle="1" w:styleId="939">
    <w:name w:val="Таблица заголовок"/>
    <w:basedOn w:val="1"/>
    <w:qFormat/>
    <w:uiPriority w:val="0"/>
    <w:pPr>
      <w:jc w:val="center"/>
    </w:pPr>
    <w:rPr>
      <w:rFonts w:ascii="Courier New" w:hAnsi="Courier New" w:eastAsia="Calibri"/>
      <w:b/>
      <w:bCs/>
      <w:i/>
      <w:iCs/>
      <w:sz w:val="22"/>
    </w:rPr>
  </w:style>
  <w:style w:type="character" w:customStyle="1" w:styleId="940">
    <w:name w:val="Обычный 13 Знак Знак Знак"/>
    <w:link w:val="941"/>
    <w:locked/>
    <w:uiPriority w:val="0"/>
  </w:style>
  <w:style w:type="paragraph" w:customStyle="1" w:styleId="941">
    <w:name w:val="Обычный 13 Знак Знак"/>
    <w:basedOn w:val="1"/>
    <w:link w:val="940"/>
    <w:qFormat/>
    <w:uiPriority w:val="0"/>
    <w:pPr>
      <w:keepNext/>
      <w:suppressLineNumbers/>
      <w:tabs>
        <w:tab w:val="left" w:leader="dot" w:pos="9356"/>
      </w:tabs>
      <w:suppressAutoHyphens/>
      <w:jc w:val="both"/>
    </w:pPr>
    <w:rPr>
      <w:rFonts w:ascii="Calibri" w:hAnsi="Calibri" w:eastAsia="Calibri"/>
      <w:sz w:val="20"/>
      <w:szCs w:val="20"/>
    </w:rPr>
  </w:style>
  <w:style w:type="character" w:customStyle="1" w:styleId="942">
    <w:name w:val="Рисунок Знак Знак"/>
    <w:link w:val="943"/>
    <w:locked/>
    <w:uiPriority w:val="0"/>
    <w:rPr>
      <w:b/>
      <w:bCs/>
      <w:i/>
      <w:sz w:val="24"/>
    </w:rPr>
  </w:style>
  <w:style w:type="paragraph" w:customStyle="1" w:styleId="943">
    <w:name w:val="Рисунок Знак"/>
    <w:basedOn w:val="42"/>
    <w:link w:val="942"/>
    <w:qFormat/>
    <w:uiPriority w:val="0"/>
    <w:pPr>
      <w:spacing w:after="120"/>
      <w:ind w:left="0"/>
      <w:jc w:val="center"/>
    </w:pPr>
    <w:rPr>
      <w:rFonts w:ascii="Calibri" w:hAnsi="Calibri" w:eastAsia="Calibri"/>
      <w:i/>
      <w:szCs w:val="20"/>
    </w:rPr>
  </w:style>
  <w:style w:type="character" w:customStyle="1" w:styleId="944">
    <w:name w:val="Рисунок Знак Знак Знак Знак"/>
    <w:link w:val="945"/>
    <w:locked/>
    <w:uiPriority w:val="0"/>
    <w:rPr>
      <w:b/>
      <w:bCs/>
      <w:i/>
      <w:sz w:val="24"/>
    </w:rPr>
  </w:style>
  <w:style w:type="paragraph" w:customStyle="1" w:styleId="945">
    <w:name w:val="Рисунок Знак Знак Знак"/>
    <w:basedOn w:val="42"/>
    <w:link w:val="944"/>
    <w:qFormat/>
    <w:uiPriority w:val="0"/>
    <w:pPr>
      <w:spacing w:after="120"/>
      <w:ind w:left="0"/>
      <w:jc w:val="center"/>
    </w:pPr>
    <w:rPr>
      <w:rFonts w:ascii="Calibri" w:hAnsi="Calibri" w:eastAsia="Calibri"/>
      <w:i/>
      <w:szCs w:val="20"/>
    </w:rPr>
  </w:style>
  <w:style w:type="paragraph" w:customStyle="1" w:styleId="946">
    <w:name w:val="Знак Знак Знак Знак Знак Знак Знак Знак1"/>
    <w:basedOn w:val="1"/>
    <w:qFormat/>
    <w:uiPriority w:val="0"/>
    <w:pPr>
      <w:spacing w:after="160" w:line="240" w:lineRule="exact"/>
    </w:pPr>
    <w:rPr>
      <w:rFonts w:ascii="Verdana" w:hAnsi="Verdana" w:eastAsia="Calibri"/>
      <w:sz w:val="20"/>
      <w:szCs w:val="20"/>
      <w:lang w:val="en-US" w:eastAsia="en-US"/>
    </w:rPr>
  </w:style>
  <w:style w:type="paragraph" w:customStyle="1" w:styleId="947">
    <w:name w:val="Char Char Знак Char Char Знак Char Char Знак Char Char Знак Char Char Знак Знак Знак Знак Знак Знак Знак Знак Знак Знак Знак"/>
    <w:basedOn w:val="1"/>
    <w:qFormat/>
    <w:uiPriority w:val="0"/>
    <w:pPr>
      <w:spacing w:after="160" w:line="240" w:lineRule="exact"/>
    </w:pPr>
    <w:rPr>
      <w:rFonts w:ascii="Verdana" w:hAnsi="Verdana" w:eastAsia="Calibri"/>
      <w:sz w:val="20"/>
      <w:szCs w:val="20"/>
      <w:lang w:val="en-US" w:eastAsia="en-US"/>
    </w:rPr>
  </w:style>
  <w:style w:type="character" w:customStyle="1" w:styleId="948">
    <w:name w:val="заголовок табл Знак1"/>
    <w:link w:val="949"/>
    <w:locked/>
    <w:uiPriority w:val="0"/>
    <w:rPr>
      <w:b/>
      <w:sz w:val="24"/>
      <w:lang w:eastAsia="en-US"/>
    </w:rPr>
  </w:style>
  <w:style w:type="paragraph" w:customStyle="1" w:styleId="949">
    <w:name w:val="заголовок табл"/>
    <w:basedOn w:val="1"/>
    <w:link w:val="948"/>
    <w:qFormat/>
    <w:uiPriority w:val="0"/>
    <w:pPr>
      <w:keepNext/>
      <w:keepLines/>
      <w:widowControl w:val="0"/>
      <w:numPr>
        <w:ilvl w:val="0"/>
        <w:numId w:val="16"/>
      </w:numPr>
      <w:suppressLineNumbers/>
      <w:tabs>
        <w:tab w:val="right" w:pos="-3969"/>
        <w:tab w:val="left" w:pos="426"/>
        <w:tab w:val="left" w:pos="567"/>
        <w:tab w:val="left" w:pos="1320"/>
      </w:tabs>
      <w:suppressAutoHyphens/>
      <w:spacing w:before="120" w:after="120"/>
    </w:pPr>
    <w:rPr>
      <w:rFonts w:ascii="Calibri" w:hAnsi="Calibri" w:eastAsia="Calibri"/>
      <w:b/>
      <w:szCs w:val="20"/>
      <w:lang w:eastAsia="en-US"/>
    </w:rPr>
  </w:style>
  <w:style w:type="character" w:customStyle="1" w:styleId="950">
    <w:name w:val="Заголовок ЭА Знак"/>
    <w:link w:val="951"/>
    <w:locked/>
    <w:uiPriority w:val="0"/>
    <w:rPr>
      <w:b/>
      <w:sz w:val="28"/>
      <w:szCs w:val="28"/>
    </w:rPr>
  </w:style>
  <w:style w:type="paragraph" w:customStyle="1" w:styleId="951">
    <w:name w:val="Заголовок ЭА"/>
    <w:basedOn w:val="1"/>
    <w:link w:val="950"/>
    <w:qFormat/>
    <w:uiPriority w:val="0"/>
    <w:rPr>
      <w:rFonts w:ascii="Calibri" w:hAnsi="Calibri" w:eastAsia="Calibri"/>
      <w:b/>
      <w:sz w:val="28"/>
      <w:szCs w:val="28"/>
    </w:rPr>
  </w:style>
  <w:style w:type="paragraph" w:customStyle="1" w:styleId="952">
    <w:name w:val="Знак Знак Знак Знак Знак Знак Знак Знак Знак Знак"/>
    <w:basedOn w:val="1"/>
    <w:qFormat/>
    <w:uiPriority w:val="0"/>
    <w:pPr>
      <w:spacing w:after="160" w:line="240" w:lineRule="exact"/>
    </w:pPr>
    <w:rPr>
      <w:rFonts w:ascii="Verdana" w:hAnsi="Verdana" w:eastAsia="Calibri"/>
      <w:sz w:val="20"/>
      <w:szCs w:val="20"/>
      <w:lang w:val="en-US" w:eastAsia="en-US"/>
    </w:rPr>
  </w:style>
  <w:style w:type="paragraph" w:customStyle="1" w:styleId="953">
    <w:name w:val="Знак Знак Знак11"/>
    <w:basedOn w:val="1"/>
    <w:qFormat/>
    <w:uiPriority w:val="0"/>
    <w:pPr>
      <w:tabs>
        <w:tab w:val="left" w:pos="360"/>
      </w:tabs>
      <w:spacing w:after="160" w:line="240" w:lineRule="exact"/>
    </w:pPr>
    <w:rPr>
      <w:rFonts w:ascii="Verdana" w:hAnsi="Verdana" w:eastAsia="Calibri" w:cs="Verdana"/>
      <w:sz w:val="20"/>
      <w:szCs w:val="20"/>
      <w:lang w:val="en-US" w:eastAsia="en-US"/>
    </w:rPr>
  </w:style>
  <w:style w:type="paragraph" w:customStyle="1" w:styleId="954">
    <w:name w:val="1.1 Заголовок"/>
    <w:basedOn w:val="2"/>
    <w:qFormat/>
    <w:uiPriority w:val="0"/>
    <w:pPr>
      <w:keepNext w:val="0"/>
      <w:pageBreakBefore w:val="0"/>
      <w:tabs>
        <w:tab w:val="left" w:pos="357"/>
      </w:tabs>
      <w:suppressAutoHyphens w:val="0"/>
      <w:spacing w:before="120"/>
      <w:ind w:left="357" w:right="0" w:hanging="360"/>
      <w:jc w:val="both"/>
    </w:pPr>
    <w:rPr>
      <w:rFonts w:ascii="Times New Roman" w:hAnsi="Times New Roman" w:eastAsia="Calibri"/>
      <w:bCs w:val="0"/>
      <w:caps/>
      <w:color w:val="auto"/>
      <w:spacing w:val="0"/>
      <w:kern w:val="28"/>
      <w:sz w:val="24"/>
      <w:szCs w:val="20"/>
    </w:rPr>
  </w:style>
  <w:style w:type="paragraph" w:customStyle="1" w:styleId="955">
    <w:name w:val="Char Char Знак Char Char Знак Char Char Знак Char Char Знак Char Char Знак Знак Знак Знак Знак Знак Знак Знак Знак Знак Знак Знак Знак Знак Знак Знак Знак Знак"/>
    <w:basedOn w:val="1"/>
    <w:qFormat/>
    <w:uiPriority w:val="0"/>
    <w:pPr>
      <w:spacing w:after="160" w:line="240" w:lineRule="exact"/>
    </w:pPr>
    <w:rPr>
      <w:rFonts w:ascii="Verdana" w:hAnsi="Verdana" w:eastAsia="Calibri"/>
      <w:sz w:val="20"/>
      <w:szCs w:val="20"/>
      <w:lang w:val="en-US" w:eastAsia="en-US"/>
    </w:rPr>
  </w:style>
  <w:style w:type="paragraph" w:customStyle="1" w:styleId="956">
    <w:name w:val="Знак Знак Знак Знак Знак Знак Знак Знак11"/>
    <w:basedOn w:val="1"/>
    <w:qFormat/>
    <w:uiPriority w:val="0"/>
    <w:pPr>
      <w:spacing w:after="160" w:line="240" w:lineRule="exact"/>
    </w:pPr>
    <w:rPr>
      <w:rFonts w:ascii="Verdana" w:hAnsi="Verdana" w:eastAsia="Calibri"/>
      <w:sz w:val="20"/>
      <w:szCs w:val="20"/>
      <w:lang w:val="en-US" w:eastAsia="en-US"/>
    </w:rPr>
  </w:style>
  <w:style w:type="character" w:customStyle="1" w:styleId="957">
    <w:name w:val="Рисунок Знак Знак Знак Знак Знак Знак Знак Знак Знак Знак Знак Знак Знак Знак Знак"/>
    <w:link w:val="958"/>
    <w:locked/>
    <w:uiPriority w:val="0"/>
    <w:rPr>
      <w:b/>
      <w:bCs/>
      <w:i/>
      <w:sz w:val="24"/>
    </w:rPr>
  </w:style>
  <w:style w:type="paragraph" w:customStyle="1" w:styleId="958">
    <w:name w:val="Рисунок Знак Знак Знак Знак Знак Знак Знак Знак Знак Знак Знак Знак Знак Знак"/>
    <w:basedOn w:val="42"/>
    <w:link w:val="957"/>
    <w:qFormat/>
    <w:uiPriority w:val="0"/>
    <w:pPr>
      <w:spacing w:after="120"/>
      <w:ind w:left="0"/>
      <w:jc w:val="center"/>
    </w:pPr>
    <w:rPr>
      <w:rFonts w:ascii="Calibri" w:hAnsi="Calibri" w:eastAsia="Calibri"/>
      <w:i/>
      <w:szCs w:val="20"/>
    </w:rPr>
  </w:style>
  <w:style w:type="character" w:customStyle="1" w:styleId="959">
    <w:name w:val="заголовок таблицы Знак Знак"/>
    <w:link w:val="960"/>
    <w:locked/>
    <w:uiPriority w:val="0"/>
    <w:rPr>
      <w:b/>
      <w:i/>
      <w:sz w:val="24"/>
      <w:szCs w:val="24"/>
    </w:rPr>
  </w:style>
  <w:style w:type="paragraph" w:customStyle="1" w:styleId="960">
    <w:name w:val="заголовок таблицы"/>
    <w:basedOn w:val="1"/>
    <w:link w:val="959"/>
    <w:qFormat/>
    <w:uiPriority w:val="0"/>
    <w:pPr>
      <w:keepNext/>
      <w:keepLines/>
      <w:suppressLineNumbers/>
      <w:tabs>
        <w:tab w:val="left" w:pos="1440"/>
      </w:tabs>
      <w:suppressAutoHyphens/>
      <w:spacing w:before="120" w:after="120"/>
      <w:ind w:left="1440" w:hanging="1440"/>
      <w:jc w:val="center"/>
    </w:pPr>
    <w:rPr>
      <w:rFonts w:ascii="Calibri" w:hAnsi="Calibri" w:eastAsia="Calibri"/>
      <w:b/>
      <w:i/>
    </w:rPr>
  </w:style>
  <w:style w:type="paragraph" w:customStyle="1" w:styleId="961">
    <w:name w:val="Дог 1"/>
    <w:basedOn w:val="1"/>
    <w:next w:val="42"/>
    <w:qFormat/>
    <w:uiPriority w:val="0"/>
    <w:pPr>
      <w:numPr>
        <w:ilvl w:val="0"/>
        <w:numId w:val="17"/>
      </w:numPr>
      <w:spacing w:before="120" w:after="60"/>
      <w:jc w:val="center"/>
    </w:pPr>
    <w:rPr>
      <w:rFonts w:eastAsia="Calibri"/>
      <w:b/>
      <w:sz w:val="22"/>
      <w:szCs w:val="20"/>
    </w:rPr>
  </w:style>
  <w:style w:type="paragraph" w:customStyle="1" w:styleId="962">
    <w:name w:val="Тело таблицы"/>
    <w:qFormat/>
    <w:uiPriority w:val="0"/>
    <w:rPr>
      <w:rFonts w:ascii="Arial" w:hAnsi="Arial" w:eastAsia="Calibri" w:cs="Times New Roman"/>
      <w:lang w:val="ru-RU" w:eastAsia="ru-RU" w:bidi="ar-SA"/>
    </w:rPr>
  </w:style>
  <w:style w:type="paragraph" w:customStyle="1" w:styleId="963">
    <w:name w:val="Заголовок оглавления1"/>
    <w:basedOn w:val="2"/>
    <w:next w:val="1"/>
    <w:qFormat/>
    <w:uiPriority w:val="0"/>
    <w:pPr>
      <w:keepLines/>
      <w:pageBreakBefore w:val="0"/>
      <w:suppressAutoHyphens w:val="0"/>
      <w:spacing w:before="480" w:line="276" w:lineRule="auto"/>
      <w:ind w:left="0" w:right="0"/>
      <w:jc w:val="both"/>
      <w:outlineLvl w:val="9"/>
    </w:pPr>
    <w:rPr>
      <w:rFonts w:eastAsia="Calibri"/>
      <w:color w:val="365F91"/>
      <w:spacing w:val="0"/>
      <w:kern w:val="28"/>
      <w:sz w:val="28"/>
      <w:szCs w:val="28"/>
      <w:lang w:eastAsia="en-US"/>
    </w:rPr>
  </w:style>
  <w:style w:type="character" w:customStyle="1" w:styleId="964">
    <w:name w:val="Рисунок Знак Знак Знак Знак Знак Знак Знак Знак Знак Знак Знак Знак Знак Знак Знак Знак Знак Знак Знак"/>
    <w:link w:val="965"/>
    <w:locked/>
    <w:uiPriority w:val="0"/>
    <w:rPr>
      <w:b/>
      <w:bCs/>
      <w:i/>
      <w:sz w:val="24"/>
    </w:rPr>
  </w:style>
  <w:style w:type="paragraph" w:customStyle="1" w:styleId="965">
    <w:name w:val="Рисунок Знак Знак Знак Знак Знак Знак Знак Знак Знак Знак Знак Знак Знак Знак Знак Знак Знак Знак"/>
    <w:basedOn w:val="42"/>
    <w:link w:val="964"/>
    <w:qFormat/>
    <w:uiPriority w:val="0"/>
    <w:pPr>
      <w:spacing w:after="120"/>
      <w:ind w:left="0"/>
      <w:jc w:val="center"/>
    </w:pPr>
    <w:rPr>
      <w:rFonts w:ascii="Calibri" w:hAnsi="Calibri" w:eastAsia="Calibri"/>
      <w:i/>
      <w:szCs w:val="20"/>
    </w:rPr>
  </w:style>
  <w:style w:type="paragraph" w:customStyle="1" w:styleId="966">
    <w:name w:val="Знак8"/>
    <w:basedOn w:val="1"/>
    <w:qFormat/>
    <w:uiPriority w:val="0"/>
    <w:pPr>
      <w:spacing w:after="160" w:line="240" w:lineRule="exact"/>
    </w:pPr>
    <w:rPr>
      <w:rFonts w:ascii="Verdana" w:hAnsi="Verdana" w:eastAsia="Calibri"/>
      <w:sz w:val="20"/>
      <w:szCs w:val="20"/>
      <w:lang w:val="en-US" w:eastAsia="en-US"/>
    </w:rPr>
  </w:style>
  <w:style w:type="paragraph" w:customStyle="1" w:styleId="967">
    <w:name w:val="Таблица1"/>
    <w:basedOn w:val="1"/>
    <w:next w:val="1"/>
    <w:qFormat/>
    <w:uiPriority w:val="0"/>
    <w:pPr>
      <w:keepNext/>
      <w:tabs>
        <w:tab w:val="left" w:pos="1247"/>
        <w:tab w:val="left" w:pos="1361"/>
      </w:tabs>
      <w:spacing w:before="360" w:after="120" w:line="360" w:lineRule="auto"/>
    </w:pPr>
    <w:rPr>
      <w:rFonts w:ascii="Arial" w:hAnsi="Arial" w:eastAsia="Calibri"/>
      <w:b/>
      <w:sz w:val="20"/>
      <w:szCs w:val="20"/>
    </w:rPr>
  </w:style>
  <w:style w:type="paragraph" w:customStyle="1" w:styleId="968">
    <w:name w:val="Нумерованный многоуровневый список"/>
    <w:basedOn w:val="1"/>
    <w:qFormat/>
    <w:uiPriority w:val="0"/>
    <w:pPr>
      <w:numPr>
        <w:ilvl w:val="0"/>
        <w:numId w:val="18"/>
      </w:numPr>
    </w:pPr>
    <w:rPr>
      <w:rFonts w:eastAsia="Calibri"/>
    </w:rPr>
  </w:style>
  <w:style w:type="paragraph" w:customStyle="1" w:styleId="969">
    <w:name w:val="формула"/>
    <w:basedOn w:val="1"/>
    <w:qFormat/>
    <w:uiPriority w:val="0"/>
    <w:pPr>
      <w:jc w:val="center"/>
    </w:pPr>
    <w:rPr>
      <w:rFonts w:eastAsia="Calibri"/>
    </w:rPr>
  </w:style>
  <w:style w:type="paragraph" w:customStyle="1" w:styleId="970">
    <w:name w:val="Стиль 14 пт Первая строка:  1.25 см1"/>
    <w:basedOn w:val="1"/>
    <w:qFormat/>
    <w:uiPriority w:val="0"/>
    <w:pPr>
      <w:spacing w:before="120" w:line="360" w:lineRule="auto"/>
      <w:ind w:firstLine="709"/>
      <w:jc w:val="both"/>
    </w:pPr>
    <w:rPr>
      <w:rFonts w:eastAsia="Calibri"/>
      <w:sz w:val="28"/>
      <w:szCs w:val="20"/>
    </w:rPr>
  </w:style>
  <w:style w:type="character" w:customStyle="1" w:styleId="971">
    <w:name w:val="Таблица ОРГРЭС Знак"/>
    <w:link w:val="972"/>
    <w:locked/>
    <w:uiPriority w:val="0"/>
    <w:rPr>
      <w:rFonts w:ascii="Arial" w:hAnsi="Arial" w:cs="Arial"/>
      <w:b/>
      <w:bCs/>
      <w:color w:val="000000"/>
    </w:rPr>
  </w:style>
  <w:style w:type="paragraph" w:customStyle="1" w:styleId="972">
    <w:name w:val="Таблица ОРГРЭС"/>
    <w:basedOn w:val="1"/>
    <w:link w:val="971"/>
    <w:qFormat/>
    <w:uiPriority w:val="0"/>
    <w:pPr>
      <w:jc w:val="center"/>
    </w:pPr>
    <w:rPr>
      <w:rFonts w:ascii="Arial" w:hAnsi="Arial" w:eastAsia="Calibri"/>
      <w:b/>
      <w:bCs/>
      <w:color w:val="000000"/>
      <w:sz w:val="20"/>
      <w:szCs w:val="20"/>
    </w:rPr>
  </w:style>
  <w:style w:type="character" w:customStyle="1" w:styleId="973">
    <w:name w:val="Стиль2 Знак"/>
    <w:link w:val="974"/>
    <w:locked/>
    <w:uiPriority w:val="0"/>
    <w:rPr>
      <w:rFonts w:ascii="Arial" w:hAnsi="Arial" w:cs="Arial"/>
      <w:sz w:val="32"/>
    </w:rPr>
  </w:style>
  <w:style w:type="paragraph" w:customStyle="1" w:styleId="974">
    <w:name w:val="Стиль2"/>
    <w:basedOn w:val="1"/>
    <w:link w:val="973"/>
    <w:qFormat/>
    <w:uiPriority w:val="0"/>
    <w:pPr>
      <w:tabs>
        <w:tab w:val="decimal" w:pos="0"/>
        <w:tab w:val="left" w:pos="2268"/>
        <w:tab w:val="decimal" w:pos="3402"/>
      </w:tabs>
      <w:spacing w:before="240" w:after="120" w:line="180" w:lineRule="exact"/>
      <w:jc w:val="center"/>
    </w:pPr>
    <w:rPr>
      <w:rFonts w:ascii="Arial" w:hAnsi="Arial" w:eastAsia="Calibri"/>
      <w:sz w:val="32"/>
      <w:szCs w:val="20"/>
    </w:rPr>
  </w:style>
  <w:style w:type="character" w:customStyle="1" w:styleId="975">
    <w:name w:val="Стиль3 Знак"/>
    <w:link w:val="976"/>
    <w:locked/>
    <w:uiPriority w:val="0"/>
    <w:rPr>
      <w:rFonts w:ascii="Arial" w:hAnsi="Arial" w:cs="Arial"/>
      <w:sz w:val="19"/>
    </w:rPr>
  </w:style>
  <w:style w:type="paragraph" w:customStyle="1" w:styleId="976">
    <w:name w:val="Стиль3"/>
    <w:basedOn w:val="1"/>
    <w:link w:val="975"/>
    <w:qFormat/>
    <w:uiPriority w:val="0"/>
    <w:pPr>
      <w:tabs>
        <w:tab w:val="decimal" w:pos="0"/>
        <w:tab w:val="left" w:pos="2268"/>
        <w:tab w:val="decimal" w:pos="3402"/>
      </w:tabs>
      <w:spacing w:before="240" w:after="120" w:line="220" w:lineRule="exact"/>
      <w:jc w:val="center"/>
    </w:pPr>
    <w:rPr>
      <w:rFonts w:ascii="Arial" w:hAnsi="Arial" w:eastAsia="Calibri"/>
      <w:sz w:val="19"/>
      <w:szCs w:val="20"/>
    </w:rPr>
  </w:style>
  <w:style w:type="character" w:customStyle="1" w:styleId="977">
    <w:name w:val="Название отчета Знак"/>
    <w:link w:val="978"/>
    <w:locked/>
    <w:uiPriority w:val="0"/>
    <w:rPr>
      <w:rFonts w:ascii="Arial" w:hAnsi="Arial" w:cs="Arial"/>
      <w:b/>
      <w:sz w:val="48"/>
      <w:szCs w:val="48"/>
    </w:rPr>
  </w:style>
  <w:style w:type="paragraph" w:customStyle="1" w:styleId="978">
    <w:name w:val="Название отчета"/>
    <w:basedOn w:val="1"/>
    <w:link w:val="977"/>
    <w:qFormat/>
    <w:uiPriority w:val="0"/>
    <w:pPr>
      <w:spacing w:before="120" w:after="120"/>
      <w:jc w:val="center"/>
    </w:pPr>
    <w:rPr>
      <w:rFonts w:ascii="Arial" w:hAnsi="Arial" w:eastAsia="Calibri"/>
      <w:b/>
      <w:sz w:val="48"/>
      <w:szCs w:val="48"/>
    </w:rPr>
  </w:style>
  <w:style w:type="character" w:customStyle="1" w:styleId="979">
    <w:name w:val="Стиль4 Знак"/>
    <w:link w:val="980"/>
    <w:locked/>
    <w:uiPriority w:val="0"/>
    <w:rPr>
      <w:rFonts w:ascii="Arial" w:hAnsi="Arial" w:cs="Arial"/>
      <w:sz w:val="28"/>
      <w:szCs w:val="28"/>
    </w:rPr>
  </w:style>
  <w:style w:type="paragraph" w:customStyle="1" w:styleId="980">
    <w:name w:val="Стиль4"/>
    <w:basedOn w:val="1"/>
    <w:link w:val="979"/>
    <w:qFormat/>
    <w:uiPriority w:val="0"/>
    <w:pPr>
      <w:spacing w:before="120"/>
      <w:ind w:left="5103"/>
      <w:jc w:val="center"/>
    </w:pPr>
    <w:rPr>
      <w:rFonts w:ascii="Arial" w:hAnsi="Arial" w:eastAsia="Calibri"/>
      <w:sz w:val="28"/>
      <w:szCs w:val="28"/>
    </w:rPr>
  </w:style>
  <w:style w:type="character" w:customStyle="1" w:styleId="981">
    <w:name w:val="Стиль5 Знак"/>
    <w:link w:val="982"/>
    <w:locked/>
    <w:uiPriority w:val="0"/>
    <w:rPr>
      <w:rFonts w:ascii="Arial" w:hAnsi="Arial" w:cs="Arial"/>
      <w:b/>
      <w:sz w:val="48"/>
      <w:szCs w:val="48"/>
    </w:rPr>
  </w:style>
  <w:style w:type="paragraph" w:customStyle="1" w:styleId="982">
    <w:name w:val="Стиль5"/>
    <w:basedOn w:val="1"/>
    <w:link w:val="981"/>
    <w:qFormat/>
    <w:uiPriority w:val="0"/>
    <w:pPr>
      <w:spacing w:before="120" w:after="120"/>
      <w:jc w:val="center"/>
    </w:pPr>
    <w:rPr>
      <w:rFonts w:ascii="Arial" w:hAnsi="Arial" w:eastAsia="Calibri"/>
      <w:b/>
      <w:sz w:val="48"/>
      <w:szCs w:val="48"/>
    </w:rPr>
  </w:style>
  <w:style w:type="character" w:customStyle="1" w:styleId="983">
    <w:name w:val="Стиль6 Знак"/>
    <w:link w:val="984"/>
    <w:locked/>
    <w:uiPriority w:val="0"/>
    <w:rPr>
      <w:rFonts w:ascii="Arial" w:hAnsi="Arial" w:cs="Arial"/>
      <w:sz w:val="28"/>
      <w:szCs w:val="28"/>
    </w:rPr>
  </w:style>
  <w:style w:type="paragraph" w:customStyle="1" w:styleId="984">
    <w:name w:val="Стиль6"/>
    <w:basedOn w:val="1"/>
    <w:link w:val="983"/>
    <w:qFormat/>
    <w:uiPriority w:val="0"/>
    <w:pPr>
      <w:framePr w:hSpace="180" w:wrap="around" w:vAnchor="text" w:hAnchor="margin" w:y="66"/>
      <w:spacing w:before="120"/>
      <w:jc w:val="both"/>
    </w:pPr>
    <w:rPr>
      <w:rFonts w:ascii="Arial" w:hAnsi="Arial" w:eastAsia="Calibri"/>
      <w:sz w:val="28"/>
      <w:szCs w:val="28"/>
    </w:rPr>
  </w:style>
  <w:style w:type="character" w:customStyle="1" w:styleId="985">
    <w:name w:val="сам Рисунок Знак"/>
    <w:link w:val="986"/>
    <w:locked/>
    <w:uiPriority w:val="0"/>
    <w:rPr>
      <w:sz w:val="24"/>
    </w:rPr>
  </w:style>
  <w:style w:type="paragraph" w:customStyle="1" w:styleId="986">
    <w:name w:val="сам Рисунок"/>
    <w:basedOn w:val="1"/>
    <w:link w:val="985"/>
    <w:qFormat/>
    <w:uiPriority w:val="0"/>
    <w:pPr>
      <w:keepNext/>
      <w:keepLines/>
    </w:pPr>
    <w:rPr>
      <w:rFonts w:ascii="Calibri" w:hAnsi="Calibri" w:eastAsia="Calibri"/>
      <w:szCs w:val="20"/>
    </w:rPr>
  </w:style>
  <w:style w:type="paragraph" w:customStyle="1" w:styleId="987">
    <w:name w:val="font1"/>
    <w:basedOn w:val="1"/>
    <w:qFormat/>
    <w:uiPriority w:val="0"/>
    <w:pPr>
      <w:spacing w:before="100" w:beforeAutospacing="1" w:after="100" w:afterAutospacing="1"/>
    </w:pPr>
    <w:rPr>
      <w:rFonts w:ascii="Calibri" w:hAnsi="Calibri" w:eastAsia="Calibri"/>
      <w:color w:val="000000"/>
      <w:sz w:val="22"/>
      <w:szCs w:val="22"/>
    </w:rPr>
  </w:style>
  <w:style w:type="paragraph" w:customStyle="1" w:styleId="988">
    <w:name w:val="font9"/>
    <w:basedOn w:val="1"/>
    <w:qFormat/>
    <w:uiPriority w:val="0"/>
    <w:pPr>
      <w:spacing w:before="100" w:beforeAutospacing="1" w:after="100" w:afterAutospacing="1"/>
    </w:pPr>
    <w:rPr>
      <w:rFonts w:eastAsia="Calibri"/>
      <w:b/>
      <w:bCs/>
      <w:sz w:val="12"/>
      <w:szCs w:val="12"/>
    </w:rPr>
  </w:style>
  <w:style w:type="paragraph" w:customStyle="1" w:styleId="989">
    <w:name w:val="font10"/>
    <w:basedOn w:val="1"/>
    <w:qFormat/>
    <w:uiPriority w:val="0"/>
    <w:pPr>
      <w:spacing w:before="100" w:beforeAutospacing="1" w:after="100" w:afterAutospacing="1"/>
    </w:pPr>
    <w:rPr>
      <w:rFonts w:eastAsia="Calibri"/>
      <w:b/>
      <w:bCs/>
      <w:sz w:val="18"/>
      <w:szCs w:val="18"/>
    </w:rPr>
  </w:style>
  <w:style w:type="paragraph" w:customStyle="1" w:styleId="990">
    <w:name w:val="font11"/>
    <w:basedOn w:val="1"/>
    <w:qFormat/>
    <w:uiPriority w:val="0"/>
    <w:pPr>
      <w:spacing w:before="100" w:beforeAutospacing="1" w:after="100" w:afterAutospacing="1"/>
    </w:pPr>
    <w:rPr>
      <w:rFonts w:eastAsia="Calibri"/>
      <w:b/>
      <w:bCs/>
      <w:sz w:val="14"/>
      <w:szCs w:val="14"/>
    </w:rPr>
  </w:style>
  <w:style w:type="paragraph" w:customStyle="1" w:styleId="991">
    <w:name w:val="таблица тепловиз"/>
    <w:basedOn w:val="557"/>
    <w:qFormat/>
    <w:uiPriority w:val="0"/>
    <w:pPr>
      <w:keepNext/>
      <w:keepLines/>
      <w:numPr>
        <w:ilvl w:val="0"/>
        <w:numId w:val="19"/>
      </w:numPr>
      <w:suppressAutoHyphens w:val="0"/>
      <w:spacing w:before="120" w:after="120"/>
      <w:ind w:left="1287"/>
      <w:contextualSpacing/>
      <w:jc w:val="both"/>
    </w:pPr>
    <w:rPr>
      <w:rFonts w:eastAsia="Calibri"/>
      <w:szCs w:val="20"/>
      <w:lang w:val="ru-RU" w:eastAsia="ru-RU"/>
    </w:rPr>
  </w:style>
  <w:style w:type="paragraph" w:customStyle="1" w:styleId="992">
    <w:name w:val="Default Paragraph Font Para Char Char Знак"/>
    <w:basedOn w:val="1"/>
    <w:qFormat/>
    <w:uiPriority w:val="0"/>
    <w:pPr>
      <w:spacing w:after="160" w:line="240" w:lineRule="exact"/>
    </w:pPr>
    <w:rPr>
      <w:rFonts w:ascii="Verdana" w:hAnsi="Verdana" w:eastAsia="Calibri" w:cs="Verdana"/>
      <w:sz w:val="20"/>
      <w:szCs w:val="20"/>
      <w:lang w:val="en-US" w:eastAsia="en-US"/>
    </w:rPr>
  </w:style>
  <w:style w:type="paragraph" w:customStyle="1" w:styleId="993">
    <w:name w:val="Название диаграммы"/>
    <w:next w:val="1"/>
    <w:qFormat/>
    <w:uiPriority w:val="0"/>
    <w:pPr>
      <w:tabs>
        <w:tab w:val="left" w:pos="1080"/>
      </w:tabs>
      <w:spacing w:before="120" w:after="120"/>
    </w:pPr>
    <w:rPr>
      <w:rFonts w:ascii="Arial" w:hAnsi="Arial" w:eastAsia="Calibri" w:cs="Arial"/>
      <w:bCs/>
      <w:sz w:val="16"/>
      <w:szCs w:val="24"/>
      <w:lang w:val="en-US" w:eastAsia="ru-RU" w:bidi="ar-SA"/>
    </w:rPr>
  </w:style>
  <w:style w:type="character" w:customStyle="1" w:styleId="994">
    <w:name w:val="Нумерованный многоуровневый список Знак Знак"/>
    <w:link w:val="995"/>
    <w:locked/>
    <w:uiPriority w:val="0"/>
    <w:rPr>
      <w:rFonts w:ascii="Arial" w:hAnsi="Arial" w:cs="Arial"/>
      <w:lang w:val="ru-RU" w:eastAsia="ru-RU" w:bidi="ar-SA"/>
    </w:rPr>
  </w:style>
  <w:style w:type="paragraph" w:customStyle="1" w:styleId="995">
    <w:name w:val="Нумерованный многоуровневый список Знак"/>
    <w:link w:val="994"/>
    <w:qFormat/>
    <w:uiPriority w:val="0"/>
    <w:pPr>
      <w:tabs>
        <w:tab w:val="left" w:pos="567"/>
        <w:tab w:val="left" w:pos="1134"/>
        <w:tab w:val="left" w:pos="1701"/>
      </w:tabs>
      <w:spacing w:before="120" w:after="120"/>
      <w:ind w:left="567" w:hanging="567"/>
    </w:pPr>
    <w:rPr>
      <w:rFonts w:ascii="Arial" w:hAnsi="Arial" w:eastAsia="Calibri" w:cs="Arial"/>
      <w:lang w:val="ru-RU" w:eastAsia="ru-RU" w:bidi="ar-SA"/>
    </w:rPr>
  </w:style>
  <w:style w:type="paragraph" w:customStyle="1" w:styleId="996">
    <w:name w:val="Теплови_снимки"/>
    <w:basedOn w:val="1"/>
    <w:qFormat/>
    <w:uiPriority w:val="0"/>
    <w:pPr>
      <w:numPr>
        <w:ilvl w:val="0"/>
        <w:numId w:val="20"/>
      </w:numPr>
      <w:spacing w:before="120" w:after="120"/>
      <w:jc w:val="both"/>
    </w:pPr>
    <w:rPr>
      <w:rFonts w:eastAsia="Calibri"/>
      <w:szCs w:val="20"/>
      <w:lang w:val="en-US"/>
    </w:rPr>
  </w:style>
  <w:style w:type="paragraph" w:customStyle="1" w:styleId="997">
    <w:name w:val="Номер формулы"/>
    <w:basedOn w:val="71"/>
    <w:qFormat/>
    <w:uiPriority w:val="0"/>
    <w:pPr>
      <w:numPr>
        <w:ilvl w:val="0"/>
        <w:numId w:val="21"/>
      </w:numPr>
      <w:spacing w:after="119" w:afterAutospacing="0"/>
      <w:jc w:val="center"/>
    </w:pPr>
    <w:rPr>
      <w:rFonts w:eastAsia="Calibri"/>
      <w:b/>
      <w:iCs/>
    </w:rPr>
  </w:style>
  <w:style w:type="paragraph" w:customStyle="1" w:styleId="998">
    <w:name w:val="Знак Знак Знак Знак Знак"/>
    <w:basedOn w:val="1"/>
    <w:qFormat/>
    <w:uiPriority w:val="0"/>
    <w:pPr>
      <w:tabs>
        <w:tab w:val="left" w:pos="360"/>
      </w:tabs>
      <w:spacing w:before="120" w:after="160" w:line="240" w:lineRule="exact"/>
      <w:jc w:val="both"/>
    </w:pPr>
    <w:rPr>
      <w:rFonts w:ascii="Verdana" w:hAnsi="Verdana" w:eastAsia="Calibri" w:cs="Verdana"/>
      <w:szCs w:val="20"/>
      <w:lang w:val="en-US" w:eastAsia="en-US"/>
    </w:rPr>
  </w:style>
  <w:style w:type="character" w:customStyle="1" w:styleId="999">
    <w:name w:val="1 заголовок Знак"/>
    <w:link w:val="1000"/>
    <w:locked/>
    <w:uiPriority w:val="0"/>
    <w:rPr>
      <w:rFonts w:ascii="Cambria" w:hAnsi="Cambria"/>
      <w:b/>
      <w:bCs/>
      <w:caps/>
      <w:color w:val="365F91"/>
      <w:kern w:val="28"/>
      <w:sz w:val="24"/>
      <w:szCs w:val="28"/>
    </w:rPr>
  </w:style>
  <w:style w:type="paragraph" w:customStyle="1" w:styleId="1000">
    <w:name w:val="1 заголовок"/>
    <w:basedOn w:val="2"/>
    <w:link w:val="999"/>
    <w:qFormat/>
    <w:uiPriority w:val="0"/>
    <w:pPr>
      <w:suppressAutoHyphens w:val="0"/>
      <w:spacing w:before="240"/>
      <w:ind w:left="284" w:right="0" w:hanging="284"/>
      <w:jc w:val="both"/>
    </w:pPr>
    <w:rPr>
      <w:rFonts w:eastAsia="Calibri"/>
      <w:caps/>
      <w:color w:val="365F91"/>
      <w:spacing w:val="0"/>
      <w:kern w:val="28"/>
      <w:sz w:val="24"/>
      <w:szCs w:val="28"/>
    </w:rPr>
  </w:style>
  <w:style w:type="character" w:customStyle="1" w:styleId="1001">
    <w:name w:val="2 заголовок Знак"/>
    <w:link w:val="1002"/>
    <w:locked/>
    <w:uiPriority w:val="0"/>
    <w:rPr>
      <w:b/>
      <w:sz w:val="24"/>
    </w:rPr>
  </w:style>
  <w:style w:type="paragraph" w:customStyle="1" w:styleId="1002">
    <w:name w:val="2 заголовок"/>
    <w:basedOn w:val="3"/>
    <w:link w:val="1001"/>
    <w:qFormat/>
    <w:uiPriority w:val="0"/>
    <w:pPr>
      <w:keepNext w:val="0"/>
      <w:widowControl w:val="0"/>
      <w:overflowPunct w:val="0"/>
      <w:autoSpaceDE w:val="0"/>
      <w:autoSpaceDN w:val="0"/>
      <w:adjustRightInd w:val="0"/>
      <w:spacing w:before="0" w:after="120"/>
      <w:ind w:left="924" w:hanging="567"/>
    </w:pPr>
    <w:rPr>
      <w:rFonts w:ascii="Calibri" w:hAnsi="Calibri" w:eastAsia="Calibri"/>
      <w:bCs w:val="0"/>
      <w:i w:val="0"/>
      <w:iCs w:val="0"/>
      <w:sz w:val="24"/>
      <w:szCs w:val="20"/>
    </w:rPr>
  </w:style>
  <w:style w:type="character" w:customStyle="1" w:styleId="1003">
    <w:name w:val="3 заголовок Знак"/>
    <w:link w:val="1004"/>
    <w:locked/>
    <w:uiPriority w:val="0"/>
    <w:rPr>
      <w:rFonts w:ascii="Cambria" w:hAnsi="Cambria"/>
      <w:b/>
      <w:color w:val="4F81BD"/>
    </w:rPr>
  </w:style>
  <w:style w:type="paragraph" w:customStyle="1" w:styleId="1004">
    <w:name w:val="3 заголовок"/>
    <w:basedOn w:val="4"/>
    <w:link w:val="1003"/>
    <w:qFormat/>
    <w:uiPriority w:val="0"/>
    <w:pPr>
      <w:keepLines/>
      <w:tabs>
        <w:tab w:val="left" w:pos="360"/>
        <w:tab w:val="left" w:pos="1440"/>
      </w:tabs>
      <w:overflowPunct w:val="0"/>
      <w:autoSpaceDE w:val="0"/>
      <w:autoSpaceDN w:val="0"/>
      <w:adjustRightInd w:val="0"/>
      <w:spacing w:after="120"/>
      <w:ind w:left="1661" w:hanging="737"/>
    </w:pPr>
    <w:rPr>
      <w:rFonts w:ascii="Cambria" w:hAnsi="Cambria" w:eastAsia="Calibri"/>
      <w:bCs w:val="0"/>
      <w:color w:val="4F81BD"/>
      <w:sz w:val="20"/>
      <w:szCs w:val="20"/>
    </w:rPr>
  </w:style>
  <w:style w:type="paragraph" w:customStyle="1" w:styleId="1005">
    <w:name w:val="Маркированный список вложенный"/>
    <w:basedOn w:val="1"/>
    <w:qFormat/>
    <w:uiPriority w:val="0"/>
    <w:pPr>
      <w:numPr>
        <w:ilvl w:val="0"/>
        <w:numId w:val="22"/>
      </w:numPr>
      <w:spacing w:after="120"/>
    </w:pPr>
    <w:rPr>
      <w:rFonts w:ascii="Arial" w:hAnsi="Arial" w:eastAsia="Calibri"/>
      <w:bCs/>
      <w:iCs/>
      <w:sz w:val="20"/>
      <w:szCs w:val="20"/>
    </w:rPr>
  </w:style>
  <w:style w:type="character" w:customStyle="1" w:styleId="1006">
    <w:name w:val="- Список Знак"/>
    <w:link w:val="1007"/>
    <w:locked/>
    <w:uiPriority w:val="0"/>
    <w:rPr>
      <w:rFonts w:eastAsia="Times New Roman"/>
      <w:sz w:val="24"/>
      <w:szCs w:val="24"/>
      <w:lang w:eastAsia="en-US"/>
    </w:rPr>
  </w:style>
  <w:style w:type="paragraph" w:customStyle="1" w:styleId="1007">
    <w:name w:val="- Список"/>
    <w:basedOn w:val="1"/>
    <w:link w:val="1006"/>
    <w:qFormat/>
    <w:uiPriority w:val="0"/>
    <w:pPr>
      <w:numPr>
        <w:ilvl w:val="0"/>
        <w:numId w:val="23"/>
      </w:numPr>
      <w:tabs>
        <w:tab w:val="left" w:pos="1134"/>
      </w:tabs>
      <w:spacing w:line="360" w:lineRule="auto"/>
      <w:ind w:left="0" w:firstLine="567"/>
      <w:jc w:val="both"/>
    </w:pPr>
    <w:rPr>
      <w:rFonts w:ascii="Calibri" w:hAnsi="Calibri"/>
      <w:lang w:eastAsia="en-US"/>
    </w:rPr>
  </w:style>
  <w:style w:type="character" w:customStyle="1" w:styleId="1008">
    <w:name w:val="Название Таблицы Знак"/>
    <w:link w:val="1009"/>
    <w:locked/>
    <w:uiPriority w:val="0"/>
    <w:rPr>
      <w:rFonts w:eastAsia="Times New Roman"/>
      <w:bCs/>
    </w:rPr>
  </w:style>
  <w:style w:type="paragraph" w:customStyle="1" w:styleId="1009">
    <w:name w:val="Название Таблицы"/>
    <w:basedOn w:val="22"/>
    <w:link w:val="1008"/>
    <w:qFormat/>
    <w:uiPriority w:val="0"/>
    <w:pPr>
      <w:spacing w:before="240" w:after="60" w:line="360" w:lineRule="auto"/>
      <w:ind w:firstLine="567"/>
      <w:jc w:val="both"/>
    </w:pPr>
    <w:rPr>
      <w:rFonts w:ascii="Calibri" w:hAnsi="Calibri"/>
      <w:b w:val="0"/>
      <w:color w:val="auto"/>
      <w:sz w:val="20"/>
      <w:szCs w:val="20"/>
    </w:rPr>
  </w:style>
  <w:style w:type="character" w:customStyle="1" w:styleId="1010">
    <w:name w:val="Название Рисунка Знак"/>
    <w:link w:val="1011"/>
    <w:locked/>
    <w:uiPriority w:val="0"/>
    <w:rPr>
      <w:rFonts w:eastAsia="Times New Roman"/>
      <w:bCs/>
    </w:rPr>
  </w:style>
  <w:style w:type="paragraph" w:customStyle="1" w:styleId="1011">
    <w:name w:val="Название Рисунка"/>
    <w:basedOn w:val="22"/>
    <w:link w:val="1010"/>
    <w:qFormat/>
    <w:uiPriority w:val="0"/>
    <w:pPr>
      <w:spacing w:before="60" w:after="240" w:line="360" w:lineRule="auto"/>
      <w:jc w:val="both"/>
    </w:pPr>
    <w:rPr>
      <w:rFonts w:ascii="Calibri" w:hAnsi="Calibri"/>
      <w:b w:val="0"/>
      <w:color w:val="auto"/>
      <w:sz w:val="20"/>
      <w:szCs w:val="20"/>
    </w:rPr>
  </w:style>
  <w:style w:type="character" w:customStyle="1" w:styleId="1012">
    <w:name w:val="Текст отчета МОЭК Знак"/>
    <w:link w:val="1013"/>
    <w:locked/>
    <w:uiPriority w:val="0"/>
    <w:rPr>
      <w:sz w:val="28"/>
      <w:szCs w:val="28"/>
    </w:rPr>
  </w:style>
  <w:style w:type="paragraph" w:customStyle="1" w:styleId="1013">
    <w:name w:val="Текст отчета МОЭК"/>
    <w:basedOn w:val="1"/>
    <w:link w:val="1012"/>
    <w:qFormat/>
    <w:uiPriority w:val="0"/>
    <w:pPr>
      <w:spacing w:line="276" w:lineRule="auto"/>
      <w:ind w:firstLine="709"/>
      <w:jc w:val="both"/>
    </w:pPr>
    <w:rPr>
      <w:rFonts w:ascii="Calibri" w:hAnsi="Calibri" w:eastAsia="Calibri"/>
      <w:sz w:val="28"/>
      <w:szCs w:val="28"/>
    </w:rPr>
  </w:style>
  <w:style w:type="character" w:customStyle="1" w:styleId="1014">
    <w:name w:val="Формула Знак"/>
    <w:link w:val="1015"/>
    <w:locked/>
    <w:uiPriority w:val="0"/>
    <w:rPr>
      <w:rFonts w:ascii="Cambria Math" w:hAnsi="Cambria Math" w:eastAsia="Times New Roman"/>
      <w:sz w:val="28"/>
      <w:szCs w:val="28"/>
      <w:lang w:val="en-US"/>
    </w:rPr>
  </w:style>
  <w:style w:type="paragraph" w:customStyle="1" w:styleId="1015">
    <w:name w:val="Формула"/>
    <w:basedOn w:val="1013"/>
    <w:link w:val="1014"/>
    <w:qFormat/>
    <w:uiPriority w:val="0"/>
    <w:pPr>
      <w:tabs>
        <w:tab w:val="left" w:pos="9072"/>
      </w:tabs>
      <w:ind w:left="2880" w:firstLine="0"/>
      <w:jc w:val="right"/>
    </w:pPr>
    <w:rPr>
      <w:rFonts w:ascii="Cambria Math" w:hAnsi="Cambria Math" w:eastAsia="Times New Roman"/>
      <w:lang w:val="en-US"/>
    </w:rPr>
  </w:style>
  <w:style w:type="character" w:customStyle="1" w:styleId="1016">
    <w:name w:val="Список отчета Знак"/>
    <w:link w:val="1017"/>
    <w:locked/>
    <w:uiPriority w:val="0"/>
    <w:rPr>
      <w:sz w:val="28"/>
      <w:szCs w:val="28"/>
    </w:rPr>
  </w:style>
  <w:style w:type="paragraph" w:customStyle="1" w:styleId="1017">
    <w:name w:val="Список отчета"/>
    <w:basedOn w:val="1013"/>
    <w:link w:val="1016"/>
    <w:qFormat/>
    <w:uiPriority w:val="0"/>
    <w:pPr>
      <w:numPr>
        <w:ilvl w:val="0"/>
        <w:numId w:val="24"/>
      </w:numPr>
      <w:ind w:left="1066" w:hanging="357"/>
    </w:pPr>
  </w:style>
  <w:style w:type="character" w:customStyle="1" w:styleId="1018">
    <w:name w:val="Раздел приложения Знак"/>
    <w:link w:val="1019"/>
    <w:locked/>
    <w:uiPriority w:val="0"/>
    <w:rPr>
      <w:b/>
      <w:sz w:val="24"/>
      <w:lang w:val="en-US" w:eastAsia="ar-SA"/>
    </w:rPr>
  </w:style>
  <w:style w:type="paragraph" w:customStyle="1" w:styleId="1019">
    <w:name w:val="Раздел приложения"/>
    <w:basedOn w:val="557"/>
    <w:link w:val="1018"/>
    <w:qFormat/>
    <w:uiPriority w:val="0"/>
    <w:pPr>
      <w:keepNext/>
      <w:keepLines/>
      <w:numPr>
        <w:ilvl w:val="0"/>
        <w:numId w:val="25"/>
      </w:numPr>
      <w:suppressAutoHyphens w:val="0"/>
      <w:spacing w:before="240" w:after="120"/>
      <w:ind w:left="714" w:hanging="357"/>
      <w:contextualSpacing/>
    </w:pPr>
    <w:rPr>
      <w:rFonts w:eastAsia="Calibri"/>
      <w:b/>
      <w:szCs w:val="20"/>
    </w:rPr>
  </w:style>
  <w:style w:type="character" w:customStyle="1" w:styleId="1020">
    <w:name w:val="Таблица приложения Знак"/>
    <w:link w:val="1021"/>
    <w:locked/>
    <w:uiPriority w:val="0"/>
    <w:rPr>
      <w:sz w:val="24"/>
    </w:rPr>
  </w:style>
  <w:style w:type="paragraph" w:customStyle="1" w:styleId="1021">
    <w:name w:val="Таблица приложения"/>
    <w:basedOn w:val="927"/>
    <w:link w:val="1020"/>
    <w:qFormat/>
    <w:uiPriority w:val="0"/>
    <w:pPr>
      <w:keepNext/>
      <w:keepLines/>
      <w:numPr>
        <w:ilvl w:val="0"/>
        <w:numId w:val="26"/>
      </w:numPr>
    </w:pPr>
  </w:style>
  <w:style w:type="character" w:customStyle="1" w:styleId="1022">
    <w:name w:val="Рисунок приложения Знак"/>
    <w:link w:val="1023"/>
    <w:locked/>
    <w:uiPriority w:val="0"/>
  </w:style>
  <w:style w:type="paragraph" w:customStyle="1" w:styleId="1023">
    <w:name w:val="Рисунок приложения"/>
    <w:basedOn w:val="1021"/>
    <w:link w:val="1022"/>
    <w:qFormat/>
    <w:uiPriority w:val="0"/>
    <w:pPr>
      <w:numPr>
        <w:ilvl w:val="0"/>
        <w:numId w:val="27"/>
      </w:numPr>
      <w:tabs>
        <w:tab w:val="left" w:pos="360"/>
      </w:tabs>
      <w:ind w:left="1440"/>
    </w:pPr>
    <w:rPr>
      <w:sz w:val="20"/>
    </w:rPr>
  </w:style>
  <w:style w:type="paragraph" w:customStyle="1" w:styleId="1024">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character" w:customStyle="1" w:styleId="1025">
    <w:name w:val="Подпись к таблице_"/>
    <w:link w:val="1026"/>
    <w:locked/>
    <w:uiPriority w:val="0"/>
    <w:rPr>
      <w:rFonts w:ascii="Arial" w:hAnsi="Arial" w:eastAsia="Arial" w:cs="Arial"/>
      <w:sz w:val="23"/>
      <w:szCs w:val="23"/>
      <w:shd w:val="clear" w:color="auto" w:fill="FFFFFF"/>
    </w:rPr>
  </w:style>
  <w:style w:type="paragraph" w:customStyle="1" w:styleId="1026">
    <w:name w:val="Подпись к таблице"/>
    <w:basedOn w:val="1"/>
    <w:link w:val="1025"/>
    <w:qFormat/>
    <w:uiPriority w:val="0"/>
    <w:pPr>
      <w:shd w:val="clear" w:color="auto" w:fill="FFFFFF"/>
      <w:spacing w:line="0" w:lineRule="atLeast"/>
    </w:pPr>
    <w:rPr>
      <w:rFonts w:ascii="Arial" w:hAnsi="Arial" w:eastAsia="Arial"/>
      <w:sz w:val="23"/>
      <w:szCs w:val="23"/>
    </w:rPr>
  </w:style>
  <w:style w:type="character" w:customStyle="1" w:styleId="1027">
    <w:name w:val="Основной текст (3)_"/>
    <w:link w:val="1028"/>
    <w:locked/>
    <w:uiPriority w:val="0"/>
    <w:rPr>
      <w:rFonts w:eastAsia="Times New Roman"/>
      <w:sz w:val="12"/>
      <w:szCs w:val="12"/>
      <w:shd w:val="clear" w:color="auto" w:fill="FFFFFF"/>
    </w:rPr>
  </w:style>
  <w:style w:type="paragraph" w:customStyle="1" w:styleId="1028">
    <w:name w:val="Основной текст (3)"/>
    <w:basedOn w:val="1"/>
    <w:link w:val="1027"/>
    <w:qFormat/>
    <w:uiPriority w:val="0"/>
    <w:pPr>
      <w:shd w:val="clear" w:color="auto" w:fill="FFFFFF"/>
      <w:spacing w:line="0" w:lineRule="atLeast"/>
    </w:pPr>
    <w:rPr>
      <w:rFonts w:ascii="Calibri" w:hAnsi="Calibri"/>
      <w:sz w:val="12"/>
      <w:szCs w:val="12"/>
    </w:rPr>
  </w:style>
  <w:style w:type="character" w:customStyle="1" w:styleId="1029">
    <w:name w:val="Основной текст (4)_"/>
    <w:link w:val="1030"/>
    <w:locked/>
    <w:uiPriority w:val="0"/>
    <w:rPr>
      <w:rFonts w:eastAsia="Times New Roman"/>
      <w:sz w:val="22"/>
      <w:szCs w:val="22"/>
      <w:shd w:val="clear" w:color="auto" w:fill="FFFFFF"/>
    </w:rPr>
  </w:style>
  <w:style w:type="paragraph" w:customStyle="1" w:styleId="1030">
    <w:name w:val="Основной текст (4)"/>
    <w:basedOn w:val="1"/>
    <w:link w:val="1029"/>
    <w:qFormat/>
    <w:uiPriority w:val="0"/>
    <w:pPr>
      <w:shd w:val="clear" w:color="auto" w:fill="FFFFFF"/>
      <w:spacing w:line="0" w:lineRule="atLeast"/>
    </w:pPr>
    <w:rPr>
      <w:rFonts w:ascii="Calibri" w:hAnsi="Calibri"/>
      <w:sz w:val="22"/>
      <w:szCs w:val="22"/>
    </w:rPr>
  </w:style>
  <w:style w:type="character" w:customStyle="1" w:styleId="1031">
    <w:name w:val="Текст Знак1"/>
    <w:semiHidden/>
    <w:uiPriority w:val="0"/>
    <w:rPr>
      <w:rFonts w:ascii="Consolas" w:hAnsi="Consolas"/>
      <w:sz w:val="21"/>
      <w:szCs w:val="21"/>
    </w:rPr>
  </w:style>
  <w:style w:type="character" w:customStyle="1" w:styleId="1032">
    <w:name w:val="Основной для текста Знак1"/>
    <w:semiHidden/>
    <w:uiPriority w:val="0"/>
  </w:style>
  <w:style w:type="character" w:customStyle="1" w:styleId="1033">
    <w:name w:val="Основной текст 2 Знак2"/>
    <w:semiHidden/>
    <w:uiPriority w:val="0"/>
  </w:style>
  <w:style w:type="character" w:customStyle="1" w:styleId="1034">
    <w:name w:val="НЕТ отступов Знак Знак Знак Знак Знак Знак Знак Знак Знак Знак Знак Знак Знак Знак Знак Знак Знак Знак"/>
    <w:uiPriority w:val="0"/>
    <w:rPr>
      <w:rFonts w:hint="default" w:ascii="Times New Roman" w:hAnsi="Times New Roman" w:cs="Times New Roman"/>
      <w:sz w:val="24"/>
      <w:lang w:val="ru-RU" w:eastAsia="ru-RU" w:bidi="ar-SA"/>
    </w:rPr>
  </w:style>
  <w:style w:type="character" w:customStyle="1" w:styleId="1035">
    <w:name w:val="НЕТ отступов Знак Знак Знак Знак Знак"/>
    <w:uiPriority w:val="0"/>
    <w:rPr>
      <w:rFonts w:hint="default" w:ascii="Times New Roman" w:hAnsi="Times New Roman" w:cs="Times New Roman"/>
      <w:sz w:val="24"/>
      <w:lang w:val="ru-RU" w:eastAsia="ru-RU" w:bidi="ar-SA"/>
    </w:rPr>
  </w:style>
  <w:style w:type="character" w:customStyle="1" w:styleId="1036">
    <w:name w:val="Основной текст Знак1 Знак Знак Знак Знак Знак З"/>
    <w:uiPriority w:val="0"/>
    <w:rPr>
      <w:rFonts w:hint="default" w:ascii="Times New Roman" w:hAnsi="Times New Roman" w:cs="Times New Roman"/>
      <w:sz w:val="24"/>
      <w:lang w:val="ru-RU" w:eastAsia="ru-RU" w:bidi="ar-SA"/>
    </w:rPr>
  </w:style>
  <w:style w:type="character" w:customStyle="1" w:styleId="1037">
    <w:name w:val="Слабое выделение1"/>
    <w:uiPriority w:val="0"/>
    <w:rPr>
      <w:rFonts w:hint="default" w:ascii="Times New Roman" w:hAnsi="Times New Roman" w:cs="Times New Roman"/>
      <w:i/>
      <w:iCs/>
      <w:color w:val="808080"/>
    </w:rPr>
  </w:style>
  <w:style w:type="character" w:customStyle="1" w:styleId="1038">
    <w:name w:val="Основной текст Знак1 Знак Знак Знак Знак Знак Знак Знак Знак Знак Знак Знак Знак Знак Знак"/>
    <w:uiPriority w:val="0"/>
    <w:rPr>
      <w:rFonts w:hint="default" w:ascii="Times New Roman" w:hAnsi="Times New Roman" w:cs="Times New Roman"/>
      <w:sz w:val="24"/>
      <w:lang w:val="ru-RU" w:eastAsia="ru-RU" w:bidi="ar-SA"/>
    </w:rPr>
  </w:style>
  <w:style w:type="character" w:customStyle="1" w:styleId="1039">
    <w:name w:val="НЕТ отступов Знак"/>
    <w:uiPriority w:val="0"/>
    <w:rPr>
      <w:rFonts w:hint="default" w:ascii="Times New Roman" w:hAnsi="Times New Roman" w:cs="Times New Roman"/>
      <w:sz w:val="24"/>
    </w:rPr>
  </w:style>
  <w:style w:type="character" w:customStyle="1" w:styleId="1040">
    <w:name w:val="НЕТ отступов Знак Знак Знак Знак Знак Знак Знак Знак Знак Знак Знак Знак Знак Знак Знак Знак Знак Знак Знак Знак Знак"/>
    <w:uiPriority w:val="0"/>
    <w:rPr>
      <w:rFonts w:hint="default" w:ascii="Times New Roman" w:hAnsi="Times New Roman" w:cs="Times New Roman"/>
      <w:sz w:val="24"/>
      <w:lang w:val="ru-RU" w:eastAsia="ru-RU" w:bidi="ar-SA"/>
    </w:rPr>
  </w:style>
  <w:style w:type="character" w:customStyle="1" w:styleId="1041">
    <w:name w:val="Замещающий текст1"/>
    <w:semiHidden/>
    <w:uiPriority w:val="0"/>
    <w:rPr>
      <w:rFonts w:hint="default" w:ascii="Times New Roman" w:hAnsi="Times New Roman" w:cs="Times New Roman"/>
      <w:color w:val="808080"/>
    </w:rPr>
  </w:style>
  <w:style w:type="character" w:customStyle="1" w:styleId="1042">
    <w:name w:val="Рисунок Знак Знак Знак Знак Знак Знак Знак Знак Знак Знак Знак Знак Знак Знак Знак Знак Знак Знак Знак Знак"/>
    <w:uiPriority w:val="0"/>
    <w:rPr>
      <w:rFonts w:hint="default" w:ascii="Times New Roman" w:hAnsi="Times New Roman" w:cs="Times New Roman"/>
      <w:b/>
      <w:bCs/>
      <w:i/>
      <w:sz w:val="24"/>
    </w:rPr>
  </w:style>
  <w:style w:type="character" w:customStyle="1" w:styleId="1043">
    <w:name w:val="Рисунок Знак Знак Знак Знак Знак Знак Знак Знак Знак Знак Знак Знак Знак Знак Знак Знак Знак Знак Знак Знак Знак"/>
    <w:uiPriority w:val="0"/>
    <w:rPr>
      <w:rFonts w:hint="default" w:ascii="Times New Roman" w:hAnsi="Times New Roman" w:cs="Times New Roman"/>
      <w:b/>
      <w:bCs/>
      <w:i/>
      <w:sz w:val="24"/>
    </w:rPr>
  </w:style>
  <w:style w:type="character" w:customStyle="1" w:styleId="1044">
    <w:name w:val="textbold1"/>
    <w:uiPriority w:val="0"/>
    <w:rPr>
      <w:rFonts w:hint="default" w:ascii="Verdana" w:hAnsi="Verdana" w:cs="Times New Roman"/>
      <w:b/>
      <w:bCs/>
      <w:color w:val="336600"/>
      <w:sz w:val="17"/>
      <w:szCs w:val="17"/>
    </w:rPr>
  </w:style>
  <w:style w:type="character" w:customStyle="1" w:styleId="1045">
    <w:name w:val="nowrap"/>
    <w:uiPriority w:val="0"/>
    <w:rPr>
      <w:rFonts w:hint="default" w:ascii="Times New Roman" w:hAnsi="Times New Roman" w:cs="Times New Roman"/>
    </w:rPr>
  </w:style>
  <w:style w:type="character" w:customStyle="1" w:styleId="1046">
    <w:name w:val="Font Style15"/>
    <w:uiPriority w:val="0"/>
    <w:rPr>
      <w:rFonts w:hint="default" w:ascii="Times New Roman" w:hAnsi="Times New Roman" w:cs="Times New Roman"/>
      <w:b/>
      <w:bCs/>
      <w:sz w:val="24"/>
      <w:szCs w:val="24"/>
    </w:rPr>
  </w:style>
  <w:style w:type="character" w:customStyle="1" w:styleId="1047">
    <w:name w:val="Font Style16"/>
    <w:uiPriority w:val="0"/>
    <w:rPr>
      <w:rFonts w:hint="default" w:ascii="Times New Roman" w:hAnsi="Times New Roman" w:cs="Times New Roman"/>
      <w:sz w:val="24"/>
      <w:szCs w:val="24"/>
    </w:rPr>
  </w:style>
  <w:style w:type="character" w:customStyle="1" w:styleId="1048">
    <w:name w:val="Название таблицы Знак Знак"/>
    <w:uiPriority w:val="0"/>
    <w:rPr>
      <w:rFonts w:hint="default" w:ascii="Times New Roman" w:hAnsi="Times New Roman" w:cs="Times New Roman"/>
      <w:lang w:val="ru-RU" w:eastAsia="ru-RU" w:bidi="ar-SA"/>
    </w:rPr>
  </w:style>
  <w:style w:type="character" w:customStyle="1" w:styleId="1049">
    <w:name w:val="module"/>
    <w:uiPriority w:val="0"/>
    <w:rPr>
      <w:rFonts w:hint="default" w:ascii="Times New Roman" w:hAnsi="Times New Roman" w:cs="Times New Roman"/>
    </w:rPr>
  </w:style>
  <w:style w:type="table" w:customStyle="1" w:styleId="1050">
    <w:name w:val="Таблица М-РЦБ"/>
    <w:basedOn w:val="105"/>
    <w:uiPriority w:val="0"/>
    <w:rPr>
      <w:rFonts w:ascii="Arial" w:hAnsi="Arial" w:eastAsia="Calibri"/>
    </w:rPr>
    <w:tblPr>
      <w:tblLayout w:type="fixed"/>
      <w:tblCellMar>
        <w:top w:w="57" w:type="dxa"/>
        <w:bottom w:w="57" w:type="dxa"/>
      </w:tblCellMar>
    </w:tblPr>
    <w:tblStylePr w:type="firstRow">
      <w:rPr>
        <w:rFonts w:hint="default" w:ascii="Arial" w:hAnsi="Arial" w:cs="Times New Roman"/>
        <w:sz w:val="16"/>
        <w:szCs w:val="16"/>
      </w:rPr>
      <w:tcPr>
        <w:tcBorders>
          <w:top w:val="single" w:color="auto" w:sz="4" w:space="0"/>
          <w:left w:val="nil"/>
          <w:bottom w:val="single" w:color="auto" w:sz="12" w:space="0"/>
          <w:right w:val="nil"/>
          <w:insideH w:val="nil"/>
          <w:insideV w:val="single" w:sz="4" w:space="0"/>
          <w:tl2br w:val="nil"/>
          <w:tr2bl w:val="nil"/>
        </w:tcBorders>
      </w:tcPr>
    </w:tblStylePr>
  </w:style>
  <w:style w:type="table" w:customStyle="1" w:styleId="1051">
    <w:name w:val="28"/>
    <w:uiPriority w:val="0"/>
    <w:pPr>
      <w:widowControl w:val="0"/>
      <w:autoSpaceDE w:val="0"/>
      <w:autoSpaceDN w:val="0"/>
      <w:adjustRightInd w:val="0"/>
    </w:pPr>
    <w:rPr>
      <w:rFonts w:ascii="Times New Roman" w:hAnsi="Times New Roman"/>
      <w:sz w:val="24"/>
      <w:szCs w:val="24"/>
      <w:lang w:eastAsia="en-US"/>
    </w:rPr>
    <w:tblPr>
      <w:tblBorders>
        <w:top w:val="single" w:color="auto" w:sz="4" w:space="0"/>
        <w:bottom w:val="single" w:color="auto" w:sz="4" w:space="0"/>
        <w:insideH w:val="single" w:color="auto" w:sz="4" w:space="0"/>
        <w:insideV w:val="single" w:color="auto" w:sz="4" w:space="0"/>
      </w:tblBorders>
      <w:tblLayout w:type="fixed"/>
      <w:tblCellMar>
        <w:top w:w="57" w:type="dxa"/>
        <w:left w:w="108" w:type="dxa"/>
        <w:bottom w:w="57" w:type="dxa"/>
        <w:right w:w="108" w:type="dxa"/>
      </w:tblCellMar>
    </w:tblPr>
  </w:style>
  <w:style w:type="table" w:customStyle="1" w:styleId="1052">
    <w:name w:val="281"/>
    <w:uiPriority w:val="0"/>
    <w:pPr>
      <w:widowControl w:val="0"/>
      <w:autoSpaceDE w:val="0"/>
      <w:autoSpaceDN w:val="0"/>
      <w:adjustRightInd w:val="0"/>
    </w:pPr>
    <w:rPr>
      <w:rFonts w:ascii="Times New Roman" w:hAnsi="Times New Roman"/>
      <w:sz w:val="24"/>
      <w:szCs w:val="24"/>
      <w:lang w:eastAsia="en-US"/>
    </w:rPr>
    <w:tblPr>
      <w:tblBorders>
        <w:top w:val="single" w:color="auto" w:sz="4" w:space="0"/>
        <w:bottom w:val="single" w:color="auto" w:sz="4" w:space="0"/>
        <w:insideH w:val="single" w:color="auto" w:sz="4" w:space="0"/>
        <w:insideV w:val="single" w:color="auto" w:sz="4" w:space="0"/>
      </w:tblBorders>
      <w:tblLayout w:type="fixed"/>
      <w:tblCellMar>
        <w:top w:w="57" w:type="dxa"/>
        <w:left w:w="108" w:type="dxa"/>
        <w:bottom w:w="57" w:type="dxa"/>
        <w:right w:w="108" w:type="dxa"/>
      </w:tblCellMar>
    </w:tblPr>
  </w:style>
  <w:style w:type="character" w:customStyle="1" w:styleId="1053">
    <w:name w:val="Основной текст Знак2"/>
    <w:semiHidden/>
    <w:uiPriority w:val="99"/>
    <w:rPr>
      <w:rFonts w:eastAsia="Times New Roman"/>
      <w:b/>
      <w:bCs/>
      <w:sz w:val="24"/>
      <w:szCs w:val="24"/>
      <w:lang w:eastAsia="ru-RU"/>
    </w:rPr>
  </w:style>
  <w:style w:type="paragraph" w:customStyle="1" w:styleId="1054">
    <w:name w:val="xl214"/>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1055">
    <w:name w:val="xl21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Arial" w:hAnsi="Arial" w:cs="Arial"/>
      <w:sz w:val="19"/>
      <w:szCs w:val="19"/>
    </w:rPr>
  </w:style>
  <w:style w:type="paragraph" w:customStyle="1" w:styleId="1056">
    <w:name w:val="xl21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1057">
    <w:name w:val="xl2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058">
    <w:name w:val="xl2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Unicode MS" w:hAnsi="Arial Unicode MS" w:eastAsia="Arial Unicode MS" w:cs="Arial Unicode MS"/>
      <w:color w:val="000000"/>
    </w:rPr>
  </w:style>
  <w:style w:type="paragraph" w:customStyle="1" w:styleId="1059">
    <w:name w:val="xl2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1060">
    <w:name w:val="xl22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Unicode MS" w:hAnsi="Arial Unicode MS" w:eastAsia="Arial Unicode MS" w:cs="Arial Unicode MS"/>
      <w:color w:val="000000"/>
      <w:sz w:val="10"/>
      <w:szCs w:val="10"/>
    </w:rPr>
  </w:style>
  <w:style w:type="paragraph" w:customStyle="1" w:styleId="1061">
    <w:name w:val="xl22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Arial" w:hAnsi="Arial" w:cs="Arial"/>
      <w:sz w:val="19"/>
      <w:szCs w:val="19"/>
    </w:rPr>
  </w:style>
  <w:style w:type="paragraph" w:customStyle="1" w:styleId="1062">
    <w:name w:val="xl22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1063">
    <w:name w:val="xl223"/>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Arial" w:hAnsi="Arial" w:cs="Arial"/>
      <w:sz w:val="19"/>
      <w:szCs w:val="19"/>
    </w:rPr>
  </w:style>
  <w:style w:type="paragraph" w:customStyle="1" w:styleId="1064">
    <w:name w:val="xl224"/>
    <w:basedOn w:val="1"/>
    <w:qFormat/>
    <w:uiPriority w:val="0"/>
    <w:pP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1065">
    <w:name w:val="xl225"/>
    <w:basedOn w:val="1"/>
    <w:qFormat/>
    <w:uiPriority w:val="0"/>
    <w:pPr>
      <w:pBdr>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Arial" w:hAnsi="Arial" w:cs="Arial"/>
      <w:sz w:val="19"/>
      <w:szCs w:val="19"/>
    </w:rPr>
  </w:style>
  <w:style w:type="paragraph" w:customStyle="1" w:styleId="1066">
    <w:name w:val="xl22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1067">
    <w:name w:val="xl227"/>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Calibri" w:hAnsi="Calibri" w:cs="Calibri"/>
    </w:rPr>
  </w:style>
  <w:style w:type="paragraph" w:customStyle="1" w:styleId="1068">
    <w:name w:val="xl228"/>
    <w:basedOn w:val="1"/>
    <w:qFormat/>
    <w:uiPriority w:val="0"/>
    <w:pPr>
      <w:pBdr>
        <w:top w:val="single" w:color="000000" w:sz="4" w:space="0"/>
        <w:left w:val="single" w:color="auto" w:sz="8" w:space="0"/>
        <w:bottom w:val="single" w:color="000000" w:sz="4" w:space="0"/>
        <w:right w:val="single" w:color="000000" w:sz="4" w:space="0"/>
      </w:pBdr>
      <w:shd w:val="clear" w:color="auto" w:fill="FFFFFF"/>
      <w:spacing w:before="100" w:beforeAutospacing="1" w:after="100" w:afterAutospacing="1"/>
      <w:jc w:val="center"/>
    </w:pPr>
    <w:rPr>
      <w:color w:val="000000"/>
      <w:sz w:val="20"/>
      <w:szCs w:val="20"/>
    </w:rPr>
  </w:style>
  <w:style w:type="paragraph" w:customStyle="1" w:styleId="1069">
    <w:name w:val="xl22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sz w:val="20"/>
      <w:szCs w:val="20"/>
    </w:rPr>
  </w:style>
  <w:style w:type="paragraph" w:customStyle="1" w:styleId="1070">
    <w:name w:val="xl23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color w:val="000000"/>
      <w:sz w:val="20"/>
      <w:szCs w:val="20"/>
    </w:rPr>
  </w:style>
  <w:style w:type="paragraph" w:customStyle="1" w:styleId="1071">
    <w:name w:val="xl231"/>
    <w:basedOn w:val="1"/>
    <w:qFormat/>
    <w:uiPriority w:val="0"/>
    <w:pPr>
      <w:pBdr>
        <w:top w:val="single" w:color="000000" w:sz="4" w:space="0"/>
        <w:left w:val="single" w:color="000000" w:sz="4" w:space="0"/>
        <w:bottom w:val="single" w:color="auto" w:sz="8" w:space="0"/>
        <w:right w:val="single" w:color="000000" w:sz="4" w:space="0"/>
      </w:pBdr>
      <w:shd w:val="clear" w:color="auto" w:fill="FFFFFF"/>
      <w:spacing w:before="100" w:beforeAutospacing="1" w:after="100" w:afterAutospacing="1"/>
      <w:jc w:val="center"/>
    </w:pPr>
    <w:rPr>
      <w:color w:val="000000"/>
      <w:sz w:val="20"/>
      <w:szCs w:val="20"/>
    </w:rPr>
  </w:style>
  <w:style w:type="paragraph" w:customStyle="1" w:styleId="1072">
    <w:name w:val="xl232"/>
    <w:basedOn w:val="1"/>
    <w:qFormat/>
    <w:uiPriority w:val="0"/>
    <w:pPr>
      <w:pBdr>
        <w:top w:val="single" w:color="000000" w:sz="4" w:space="0"/>
        <w:left w:val="single" w:color="000000" w:sz="4" w:space="0"/>
        <w:bottom w:val="single" w:color="auto" w:sz="8" w:space="0"/>
        <w:right w:val="single" w:color="000000" w:sz="4" w:space="0"/>
      </w:pBdr>
      <w:shd w:val="clear" w:color="auto" w:fill="FFFFFF"/>
      <w:spacing w:before="100" w:beforeAutospacing="1" w:after="100" w:afterAutospacing="1"/>
      <w:jc w:val="center"/>
    </w:pPr>
    <w:rPr>
      <w:color w:val="000000"/>
      <w:sz w:val="20"/>
      <w:szCs w:val="20"/>
    </w:rPr>
  </w:style>
  <w:style w:type="paragraph" w:customStyle="1" w:styleId="1073">
    <w:name w:val="xl233"/>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b/>
      <w:bCs/>
      <w:color w:val="000000"/>
    </w:rPr>
  </w:style>
  <w:style w:type="paragraph" w:customStyle="1" w:styleId="1074">
    <w:name w:val="xl23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b/>
      <w:bCs/>
      <w:color w:val="000000"/>
    </w:rPr>
  </w:style>
  <w:style w:type="paragraph" w:customStyle="1" w:styleId="1075">
    <w:name w:val="xl235"/>
    <w:basedOn w:val="1"/>
    <w:qFormat/>
    <w:uiPriority w:val="0"/>
    <w:pPr>
      <w:pBdr>
        <w:top w:val="single" w:color="auto" w:sz="8" w:space="0"/>
        <w:left w:val="single" w:color="auto" w:sz="4" w:space="0"/>
        <w:right w:val="single" w:color="auto" w:sz="8" w:space="0"/>
      </w:pBdr>
      <w:spacing w:before="100" w:beforeAutospacing="1" w:after="100" w:afterAutospacing="1"/>
      <w:jc w:val="center"/>
    </w:pPr>
    <w:rPr>
      <w:color w:val="000000"/>
    </w:rPr>
  </w:style>
  <w:style w:type="paragraph" w:customStyle="1" w:styleId="1076">
    <w:name w:val="xl236"/>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color w:val="000000"/>
    </w:rPr>
  </w:style>
  <w:style w:type="paragraph" w:customStyle="1" w:styleId="1077">
    <w:name w:val="xl237"/>
    <w:basedOn w:val="1"/>
    <w:qFormat/>
    <w:uiPriority w:val="0"/>
    <w:pPr>
      <w:pBdr>
        <w:top w:val="single" w:color="auto" w:sz="8" w:space="0"/>
        <w:left w:val="single" w:color="auto" w:sz="4" w:space="0"/>
        <w:right w:val="single" w:color="auto" w:sz="4" w:space="0"/>
      </w:pBdr>
      <w:spacing w:before="100" w:beforeAutospacing="1" w:after="100" w:afterAutospacing="1"/>
      <w:jc w:val="center"/>
    </w:pPr>
    <w:rPr>
      <w:color w:val="000000"/>
    </w:rPr>
  </w:style>
  <w:style w:type="paragraph" w:customStyle="1" w:styleId="1078">
    <w:name w:val="xl238"/>
    <w:basedOn w:val="1"/>
    <w:qFormat/>
    <w:uiPriority w:val="0"/>
    <w:pPr>
      <w:pBdr>
        <w:left w:val="single" w:color="auto" w:sz="4" w:space="0"/>
        <w:bottom w:val="single" w:color="auto" w:sz="8" w:space="0"/>
        <w:right w:val="single" w:color="auto" w:sz="4" w:space="0"/>
      </w:pBdr>
      <w:spacing w:before="100" w:beforeAutospacing="1" w:after="100" w:afterAutospacing="1"/>
      <w:jc w:val="center"/>
    </w:pPr>
    <w:rPr>
      <w:color w:val="000000"/>
    </w:rPr>
  </w:style>
  <w:style w:type="character" w:customStyle="1" w:styleId="1079">
    <w:name w:val="РПА основной текст Знак"/>
    <w:link w:val="1080"/>
    <w:locked/>
    <w:uiPriority w:val="0"/>
    <w:rPr>
      <w:rFonts w:ascii="Arial" w:hAnsi="Arial" w:eastAsia="Times New Roman" w:cs="Arial"/>
      <w:sz w:val="22"/>
    </w:rPr>
  </w:style>
  <w:style w:type="paragraph" w:customStyle="1" w:styleId="1080">
    <w:name w:val="РПА основной текст"/>
    <w:basedOn w:val="1"/>
    <w:link w:val="1079"/>
    <w:qFormat/>
    <w:uiPriority w:val="0"/>
    <w:pPr>
      <w:ind w:firstLine="567"/>
      <w:jc w:val="both"/>
    </w:pPr>
    <w:rPr>
      <w:rFonts w:ascii="Arial" w:hAnsi="Arial"/>
      <w:sz w:val="22"/>
      <w:szCs w:val="20"/>
    </w:rPr>
  </w:style>
  <w:style w:type="paragraph" w:customStyle="1" w:styleId="1081">
    <w:name w:val="РПА Приложение №"/>
    <w:basedOn w:val="1"/>
    <w:qFormat/>
    <w:uiPriority w:val="0"/>
    <w:pPr>
      <w:jc w:val="right"/>
    </w:pPr>
    <w:rPr>
      <w:rFonts w:ascii="Arial" w:hAnsi="Arial" w:cs="Arial"/>
      <w:sz w:val="20"/>
      <w:szCs w:val="20"/>
    </w:rPr>
  </w:style>
  <w:style w:type="paragraph" w:customStyle="1" w:styleId="1082">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083">
    <w:name w:val="xl296"/>
    <w:basedOn w:val="1"/>
    <w:qFormat/>
    <w:uiPriority w:val="0"/>
    <w:pPr>
      <w:pBdr>
        <w:top w:val="single" w:color="auto" w:sz="4" w:space="0"/>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84">
    <w:name w:val="xl297"/>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color w:val="000000"/>
      <w:sz w:val="20"/>
      <w:szCs w:val="20"/>
    </w:rPr>
  </w:style>
  <w:style w:type="paragraph" w:customStyle="1" w:styleId="1085">
    <w:name w:val="xl298"/>
    <w:basedOn w:val="1"/>
    <w:qFormat/>
    <w:uiPriority w:val="0"/>
    <w:pPr>
      <w:pBdr>
        <w:top w:val="single" w:color="auto" w:sz="4" w:space="0"/>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86">
    <w:name w:val="xl299"/>
    <w:basedOn w:val="1"/>
    <w:qFormat/>
    <w:uiPriority w:val="0"/>
    <w:pPr>
      <w:pBdr>
        <w:top w:val="single" w:color="auto" w:sz="4" w:space="0"/>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87">
    <w:name w:val="xl300"/>
    <w:basedOn w:val="1"/>
    <w:qFormat/>
    <w:uiPriority w:val="0"/>
    <w:pPr>
      <w:pBdr>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88">
    <w:name w:val="xl301"/>
    <w:basedOn w:val="1"/>
    <w:qFormat/>
    <w:uiPriority w:val="0"/>
    <w:pPr>
      <w:pBdr>
        <w:left w:val="single" w:color="auto" w:sz="4" w:space="0"/>
        <w:bottom w:val="single" w:color="auto" w:sz="4" w:space="0"/>
        <w:right w:val="single" w:color="auto" w:sz="4" w:space="0"/>
      </w:pBdr>
      <w:shd w:val="clear" w:color="auto" w:fill="FFFF00"/>
      <w:spacing w:before="100" w:beforeAutospacing="1" w:after="100" w:afterAutospacing="1"/>
      <w:jc w:val="center"/>
    </w:pPr>
    <w:rPr>
      <w:color w:val="000000"/>
      <w:sz w:val="20"/>
      <w:szCs w:val="20"/>
    </w:rPr>
  </w:style>
  <w:style w:type="paragraph" w:customStyle="1" w:styleId="1089">
    <w:name w:val="xl302"/>
    <w:basedOn w:val="1"/>
    <w:qFormat/>
    <w:uiPriority w:val="0"/>
    <w:pPr>
      <w:pBdr>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90">
    <w:name w:val="xl303"/>
    <w:basedOn w:val="1"/>
    <w:qFormat/>
    <w:uiPriority w:val="0"/>
    <w:pPr>
      <w:pBdr>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091">
    <w:name w:val="xl3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1092">
    <w:name w:val="xl3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93">
    <w:name w:val="xl306"/>
    <w:basedOn w:val="1"/>
    <w:qFormat/>
    <w:uiPriority w:val="99"/>
    <w:pPr>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color w:val="000000"/>
      <w:sz w:val="20"/>
      <w:szCs w:val="20"/>
    </w:rPr>
  </w:style>
  <w:style w:type="paragraph" w:customStyle="1" w:styleId="1094">
    <w:name w:val="xl307"/>
    <w:basedOn w:val="1"/>
    <w:qFormat/>
    <w:uiPriority w:val="99"/>
    <w:pPr>
      <w:pBdr>
        <w:top w:val="single" w:color="auto" w:sz="4" w:space="0"/>
        <w:left w:val="single" w:color="auto" w:sz="4" w:space="0"/>
        <w:bottom w:val="single" w:color="auto" w:sz="4" w:space="0"/>
        <w:right w:val="single" w:color="auto" w:sz="4" w:space="0"/>
      </w:pBdr>
      <w:shd w:val="clear" w:color="auto" w:fill="FCD5B4"/>
      <w:spacing w:before="100" w:beforeAutospacing="1" w:after="100" w:afterAutospacing="1"/>
      <w:jc w:val="center"/>
    </w:pPr>
    <w:rPr>
      <w:sz w:val="20"/>
      <w:szCs w:val="20"/>
    </w:rPr>
  </w:style>
  <w:style w:type="paragraph" w:customStyle="1" w:styleId="1095">
    <w:name w:val="xl308"/>
    <w:basedOn w:val="1"/>
    <w:qFormat/>
    <w:uiPriority w:val="99"/>
    <w:pPr>
      <w:pBdr>
        <w:top w:val="single" w:color="auto" w:sz="4" w:space="0"/>
        <w:left w:val="single" w:color="auto" w:sz="4" w:space="0"/>
        <w:right w:val="single" w:color="auto" w:sz="4" w:space="0"/>
      </w:pBdr>
      <w:spacing w:before="100" w:beforeAutospacing="1" w:after="100" w:afterAutospacing="1"/>
      <w:jc w:val="center"/>
    </w:pPr>
  </w:style>
  <w:style w:type="paragraph" w:customStyle="1" w:styleId="1096">
    <w:name w:val="xl309"/>
    <w:basedOn w:val="1"/>
    <w:qFormat/>
    <w:uiPriority w:val="99"/>
    <w:pPr>
      <w:pBdr>
        <w:left w:val="single" w:color="auto" w:sz="4" w:space="0"/>
        <w:bottom w:val="single" w:color="auto" w:sz="4" w:space="0"/>
        <w:right w:val="single" w:color="auto" w:sz="4" w:space="0"/>
      </w:pBdr>
      <w:spacing w:before="100" w:beforeAutospacing="1" w:after="100" w:afterAutospacing="1"/>
    </w:pPr>
  </w:style>
  <w:style w:type="paragraph" w:customStyle="1" w:styleId="1097">
    <w:name w:val="xl310"/>
    <w:basedOn w:val="1"/>
    <w:qFormat/>
    <w:uiPriority w:val="99"/>
    <w:pPr>
      <w:pBdr>
        <w:left w:val="single" w:color="auto" w:sz="4" w:space="0"/>
        <w:bottom w:val="single" w:color="auto" w:sz="4" w:space="0"/>
        <w:right w:val="single" w:color="auto" w:sz="4" w:space="0"/>
      </w:pBdr>
      <w:shd w:val="clear" w:color="auto" w:fill="FFFF00"/>
      <w:spacing w:before="100" w:beforeAutospacing="1" w:after="100" w:afterAutospacing="1"/>
      <w:jc w:val="center"/>
    </w:pPr>
    <w:rPr>
      <w:color w:val="000000"/>
      <w:sz w:val="20"/>
      <w:szCs w:val="20"/>
    </w:rPr>
  </w:style>
  <w:style w:type="paragraph" w:customStyle="1" w:styleId="1098">
    <w:name w:val="xl311"/>
    <w:basedOn w:val="1"/>
    <w:qFormat/>
    <w:uiPriority w:val="99"/>
    <w:pPr>
      <w:pBdr>
        <w:left w:val="single" w:color="auto" w:sz="4" w:space="0"/>
        <w:bottom w:val="single" w:color="auto" w:sz="4" w:space="0"/>
        <w:right w:val="single" w:color="auto" w:sz="4" w:space="0"/>
      </w:pBdr>
      <w:shd w:val="clear" w:color="auto" w:fill="FCD5B4"/>
      <w:spacing w:before="100" w:beforeAutospacing="1" w:after="100" w:afterAutospacing="1"/>
      <w:jc w:val="center"/>
    </w:pPr>
    <w:rPr>
      <w:sz w:val="20"/>
      <w:szCs w:val="20"/>
    </w:rPr>
  </w:style>
  <w:style w:type="paragraph" w:customStyle="1" w:styleId="1099">
    <w:name w:val="xl312"/>
    <w:basedOn w:val="1"/>
    <w:qFormat/>
    <w:uiPriority w:val="99"/>
    <w:pPr>
      <w:pBdr>
        <w:top w:val="single" w:color="auto" w:sz="4" w:space="0"/>
        <w:left w:val="single" w:color="auto" w:sz="4" w:space="0"/>
        <w:bottom w:val="single" w:color="auto" w:sz="4" w:space="0"/>
      </w:pBdr>
      <w:spacing w:before="100" w:beforeAutospacing="1" w:after="100" w:afterAutospacing="1"/>
      <w:jc w:val="center"/>
    </w:pPr>
  </w:style>
  <w:style w:type="paragraph" w:customStyle="1" w:styleId="1100">
    <w:name w:val="xl313"/>
    <w:basedOn w:val="1"/>
    <w:qFormat/>
    <w:uiPriority w:val="99"/>
    <w:pPr>
      <w:pBdr>
        <w:top w:val="single" w:color="auto" w:sz="4" w:space="0"/>
        <w:bottom w:val="single" w:color="auto" w:sz="4" w:space="0"/>
      </w:pBdr>
      <w:spacing w:before="100" w:beforeAutospacing="1" w:after="100" w:afterAutospacing="1"/>
      <w:jc w:val="center"/>
    </w:pPr>
  </w:style>
  <w:style w:type="paragraph" w:customStyle="1" w:styleId="1101">
    <w:name w:val="xl314"/>
    <w:basedOn w:val="1"/>
    <w:qFormat/>
    <w:uiPriority w:val="99"/>
    <w:pPr>
      <w:pBdr>
        <w:top w:val="single" w:color="auto" w:sz="4" w:space="0"/>
        <w:bottom w:val="single" w:color="auto" w:sz="4" w:space="0"/>
        <w:right w:val="single" w:color="auto" w:sz="4" w:space="0"/>
      </w:pBdr>
      <w:spacing w:before="100" w:beforeAutospacing="1" w:after="100" w:afterAutospacing="1"/>
      <w:jc w:val="center"/>
    </w:pPr>
  </w:style>
  <w:style w:type="paragraph" w:customStyle="1" w:styleId="1102">
    <w:name w:val="xl315"/>
    <w:basedOn w:val="1"/>
    <w:qFormat/>
    <w:uiPriority w:val="99"/>
    <w:pPr>
      <w:pBdr>
        <w:top w:val="single" w:color="auto" w:sz="4" w:space="0"/>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103">
    <w:name w:val="xl316"/>
    <w:basedOn w:val="1"/>
    <w:qFormat/>
    <w:uiPriority w:val="99"/>
    <w:pPr>
      <w:pBdr>
        <w:left w:val="single" w:color="auto" w:sz="4" w:space="0"/>
        <w:bottom w:val="single" w:color="auto" w:sz="4" w:space="0"/>
        <w:right w:val="single" w:color="auto" w:sz="4" w:space="0"/>
      </w:pBdr>
      <w:shd w:val="clear" w:color="auto" w:fill="FCD5B4"/>
      <w:spacing w:before="100" w:beforeAutospacing="1" w:after="100" w:afterAutospacing="1"/>
      <w:jc w:val="center"/>
    </w:pPr>
    <w:rPr>
      <w:color w:val="000000"/>
      <w:sz w:val="20"/>
      <w:szCs w:val="20"/>
    </w:rPr>
  </w:style>
  <w:style w:type="paragraph" w:customStyle="1" w:styleId="1104">
    <w:name w:val="xl317"/>
    <w:basedOn w:val="1"/>
    <w:qFormat/>
    <w:uiPriority w:val="99"/>
    <w:pPr>
      <w:pBdr>
        <w:top w:val="single" w:color="auto" w:sz="4" w:space="0"/>
        <w:bottom w:val="single" w:color="auto" w:sz="4" w:space="0"/>
      </w:pBdr>
      <w:spacing w:before="100" w:beforeAutospacing="1" w:after="100" w:afterAutospacing="1"/>
      <w:jc w:val="center"/>
    </w:pPr>
  </w:style>
  <w:style w:type="character" w:customStyle="1" w:styleId="1105">
    <w:name w:val="Заголовок №5_"/>
    <w:link w:val="1106"/>
    <w:uiPriority w:val="0"/>
    <w:rPr>
      <w:sz w:val="23"/>
      <w:szCs w:val="23"/>
      <w:shd w:val="clear" w:color="auto" w:fill="FFFFFF"/>
    </w:rPr>
  </w:style>
  <w:style w:type="paragraph" w:customStyle="1" w:styleId="1106">
    <w:name w:val="Заголовок №5"/>
    <w:basedOn w:val="1"/>
    <w:link w:val="1105"/>
    <w:uiPriority w:val="0"/>
    <w:pPr>
      <w:shd w:val="clear" w:color="auto" w:fill="FFFFFF"/>
      <w:spacing w:line="384" w:lineRule="exact"/>
      <w:ind w:hanging="1900"/>
      <w:outlineLvl w:val="4"/>
    </w:pPr>
    <w:rPr>
      <w:rFonts w:ascii="Calibri" w:hAnsi="Calibri" w:eastAsia="Calibri"/>
      <w:sz w:val="23"/>
      <w:szCs w:val="23"/>
    </w:rPr>
  </w:style>
  <w:style w:type="paragraph" w:customStyle="1" w:styleId="1107">
    <w:name w:val="Основной текст4"/>
    <w:basedOn w:val="1"/>
    <w:uiPriority w:val="0"/>
    <w:pPr>
      <w:shd w:val="clear" w:color="auto" w:fill="FFFFFF"/>
      <w:spacing w:before="240" w:after="60" w:line="413" w:lineRule="exact"/>
      <w:ind w:hanging="360"/>
      <w:jc w:val="both"/>
    </w:pPr>
    <w:rPr>
      <w:rFonts w:ascii="Arial Unicode MS" w:hAnsi="Arial Unicode MS" w:eastAsia="Arial Unicode MS" w:cs="Arial Unicode MS"/>
      <w:color w:val="000000"/>
      <w:sz w:val="21"/>
      <w:szCs w:val="21"/>
    </w:rPr>
  </w:style>
  <w:style w:type="character" w:customStyle="1" w:styleId="1108">
    <w:name w:val="highlight"/>
    <w:uiPriority w:val="0"/>
  </w:style>
  <w:style w:type="paragraph" w:customStyle="1" w:styleId="1109">
    <w:name w:val="dktexleft"/>
    <w:basedOn w:val="1"/>
    <w:uiPriority w:val="0"/>
    <w:pPr>
      <w:spacing w:before="100" w:beforeAutospacing="1" w:after="100" w:afterAutospacing="1"/>
    </w:pPr>
  </w:style>
  <w:style w:type="character" w:customStyle="1" w:styleId="1110">
    <w:name w:val="Название объекта Знак3"/>
    <w:locked/>
    <w:uiPriority w:val="35"/>
    <w:rPr>
      <w:rFonts w:ascii="Arial" w:hAnsi="Arial" w:eastAsia="Times New Roman" w:cs="Times New Roman"/>
      <w:b/>
      <w:sz w:val="24"/>
      <w:szCs w:val="20"/>
      <w:lang w:eastAsia="ru-RU"/>
    </w:rPr>
  </w:style>
  <w:style w:type="paragraph" w:customStyle="1" w:styleId="1111">
    <w:name w:val="2"/>
    <w:basedOn w:val="1"/>
    <w:next w:val="3"/>
    <w:uiPriority w:val="0"/>
    <w:pPr>
      <w:spacing w:after="160" w:line="240" w:lineRule="exact"/>
      <w:jc w:val="right"/>
    </w:pPr>
    <w:rPr>
      <w:lang w:val="en-US" w:eastAsia="en-US"/>
    </w:rPr>
  </w:style>
  <w:style w:type="paragraph" w:customStyle="1" w:styleId="1112">
    <w:name w:val="xl243"/>
    <w:basedOn w:val="1"/>
    <w:uiPriority w:val="0"/>
    <w:pPr>
      <w:spacing w:before="100" w:beforeAutospacing="1" w:after="100" w:afterAutospacing="1"/>
    </w:pPr>
    <w:rPr>
      <w:rFonts w:ascii="Calibri" w:hAnsi="Calibri"/>
    </w:rPr>
  </w:style>
  <w:style w:type="paragraph" w:customStyle="1" w:styleId="1113">
    <w:name w:val="xl244"/>
    <w:basedOn w:val="1"/>
    <w:uiPriority w:val="0"/>
    <w:pPr>
      <w:spacing w:before="100" w:beforeAutospacing="1" w:after="100" w:afterAutospacing="1"/>
    </w:pPr>
    <w:rPr>
      <w:rFonts w:ascii="Calibri" w:hAnsi="Calibri"/>
    </w:rPr>
  </w:style>
  <w:style w:type="paragraph" w:customStyle="1" w:styleId="1114">
    <w:name w:val="xl245"/>
    <w:basedOn w:val="1"/>
    <w:uiPriority w:val="0"/>
    <w:pPr>
      <w:spacing w:before="100" w:beforeAutospacing="1" w:after="100" w:afterAutospacing="1"/>
      <w:jc w:val="center"/>
      <w:textAlignment w:val="center"/>
    </w:pPr>
    <w:rPr>
      <w:rFonts w:ascii="Calibri" w:hAnsi="Calibri"/>
    </w:rPr>
  </w:style>
  <w:style w:type="paragraph" w:customStyle="1" w:styleId="1115">
    <w:name w:val="xl2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rPr>
  </w:style>
  <w:style w:type="paragraph" w:customStyle="1" w:styleId="1116">
    <w:name w:val="xl247"/>
    <w:basedOn w:val="1"/>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textAlignment w:val="center"/>
    </w:pPr>
    <w:rPr>
      <w:rFonts w:ascii="Calibri" w:hAnsi="Calibri"/>
    </w:rPr>
  </w:style>
  <w:style w:type="paragraph" w:customStyle="1" w:styleId="1117">
    <w:name w:val="xl248"/>
    <w:basedOn w:val="1"/>
    <w:uiPriority w:val="0"/>
    <w:pPr>
      <w:pBdr>
        <w:top w:val="single" w:color="000000" w:sz="4" w:space="0"/>
        <w:left w:val="single" w:color="000000" w:sz="4" w:space="0"/>
        <w:bottom w:val="single" w:color="000000" w:sz="4" w:space="0"/>
        <w:right w:val="single" w:color="000000" w:sz="4" w:space="0"/>
      </w:pBdr>
      <w:shd w:val="clear" w:color="000000" w:fill="C0C0C0"/>
      <w:spacing w:before="100" w:beforeAutospacing="1" w:after="100" w:afterAutospacing="1"/>
      <w:jc w:val="center"/>
    </w:pPr>
    <w:rPr>
      <w:b/>
      <w:bCs/>
      <w:color w:val="000000"/>
      <w:sz w:val="20"/>
      <w:szCs w:val="20"/>
    </w:rPr>
  </w:style>
  <w:style w:type="paragraph" w:customStyle="1" w:styleId="1118">
    <w:name w:val="xl249"/>
    <w:basedOn w:val="1"/>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20"/>
      <w:szCs w:val="20"/>
    </w:rPr>
  </w:style>
  <w:style w:type="paragraph" w:customStyle="1" w:styleId="1119">
    <w:name w:val="xl250"/>
    <w:basedOn w:val="1"/>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20"/>
      <w:szCs w:val="20"/>
    </w:rPr>
  </w:style>
  <w:style w:type="paragraph" w:customStyle="1" w:styleId="1120">
    <w:name w:val="xl251"/>
    <w:basedOn w:val="1"/>
    <w:uiPriority w:val="0"/>
    <w:pPr>
      <w:pBdr>
        <w:top w:val="single" w:color="000000" w:sz="4" w:space="0"/>
        <w:left w:val="single" w:color="000000" w:sz="4" w:space="0"/>
        <w:bottom w:val="single" w:color="000000" w:sz="4" w:space="0"/>
      </w:pBdr>
      <w:shd w:val="clear" w:color="000000" w:fill="C0C0C0"/>
      <w:spacing w:before="100" w:beforeAutospacing="1" w:after="100" w:afterAutospacing="1"/>
      <w:jc w:val="center"/>
    </w:pPr>
    <w:rPr>
      <w:b/>
      <w:bCs/>
      <w:color w:val="000000"/>
      <w:sz w:val="20"/>
      <w:szCs w:val="20"/>
    </w:rPr>
  </w:style>
  <w:style w:type="paragraph" w:customStyle="1" w:styleId="1121">
    <w:name w:val="xl252"/>
    <w:basedOn w:val="1"/>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color w:val="000000"/>
      <w:sz w:val="20"/>
      <w:szCs w:val="20"/>
    </w:rPr>
  </w:style>
  <w:style w:type="paragraph" w:customStyle="1" w:styleId="1122">
    <w:name w:val="xl253"/>
    <w:basedOn w:val="1"/>
    <w:uiPriority w:val="0"/>
    <w:pPr>
      <w:pBdr>
        <w:top w:val="single" w:color="000000" w:sz="4" w:space="0"/>
        <w:left w:val="single" w:color="000000" w:sz="4" w:space="0"/>
        <w:bottom w:val="single" w:color="000000" w:sz="4" w:space="0"/>
        <w:right w:val="single" w:color="000000" w:sz="4" w:space="0"/>
      </w:pBdr>
      <w:shd w:val="clear" w:color="000000" w:fill="FFC000"/>
      <w:spacing w:before="100" w:beforeAutospacing="1" w:after="100" w:afterAutospacing="1"/>
      <w:jc w:val="center"/>
    </w:pPr>
    <w:rPr>
      <w:b/>
      <w:bCs/>
      <w:color w:val="000000"/>
      <w:sz w:val="20"/>
      <w:szCs w:val="20"/>
    </w:rPr>
  </w:style>
  <w:style w:type="paragraph" w:customStyle="1" w:styleId="1123">
    <w:name w:val="xl254"/>
    <w:basedOn w:val="1"/>
    <w:uiPriority w:val="0"/>
    <w:pPr>
      <w:pBdr>
        <w:top w:val="single" w:color="000000" w:sz="4" w:space="0"/>
        <w:left w:val="single" w:color="000000" w:sz="4" w:space="0"/>
        <w:bottom w:val="single" w:color="000000" w:sz="4" w:space="0"/>
        <w:right w:val="single" w:color="000000" w:sz="4" w:space="0"/>
      </w:pBdr>
      <w:shd w:val="clear" w:color="000000" w:fill="FFC000"/>
      <w:spacing w:before="100" w:beforeAutospacing="1" w:after="100" w:afterAutospacing="1"/>
      <w:jc w:val="center"/>
    </w:pPr>
    <w:rPr>
      <w:b/>
      <w:bCs/>
      <w:color w:val="000000"/>
      <w:sz w:val="20"/>
      <w:szCs w:val="20"/>
    </w:rPr>
  </w:style>
  <w:style w:type="paragraph" w:customStyle="1" w:styleId="1124">
    <w:name w:val="xl255"/>
    <w:basedOn w:val="1"/>
    <w:uiPriority w:val="0"/>
    <w:pPr>
      <w:pBdr>
        <w:top w:val="single" w:color="000000" w:sz="4" w:space="0"/>
        <w:left w:val="single" w:color="000000" w:sz="4" w:space="0"/>
        <w:bottom w:val="single" w:color="000000" w:sz="4" w:space="0"/>
        <w:right w:val="single" w:color="000000" w:sz="4" w:space="0"/>
      </w:pBdr>
      <w:shd w:val="clear" w:color="000000" w:fill="FFC000"/>
      <w:spacing w:before="100" w:beforeAutospacing="1" w:after="100" w:afterAutospacing="1"/>
      <w:jc w:val="center"/>
    </w:pPr>
    <w:rPr>
      <w:b/>
      <w:bCs/>
      <w:color w:val="000000"/>
      <w:sz w:val="20"/>
      <w:szCs w:val="20"/>
    </w:rPr>
  </w:style>
  <w:style w:type="paragraph" w:customStyle="1" w:styleId="1125">
    <w:name w:val="xl256"/>
    <w:basedOn w:val="1"/>
    <w:uiPriority w:val="0"/>
    <w:pPr>
      <w:pBdr>
        <w:top w:val="single" w:color="000000" w:sz="4" w:space="0"/>
        <w:left w:val="single" w:color="000000" w:sz="4" w:space="0"/>
        <w:bottom w:val="single" w:color="000000" w:sz="4" w:space="0"/>
      </w:pBdr>
      <w:shd w:val="clear" w:color="000000" w:fill="FFC000"/>
      <w:spacing w:before="100" w:beforeAutospacing="1" w:after="100" w:afterAutospacing="1"/>
      <w:jc w:val="center"/>
    </w:pPr>
    <w:rPr>
      <w:b/>
      <w:bCs/>
      <w:color w:val="000000"/>
      <w:sz w:val="20"/>
      <w:szCs w:val="20"/>
    </w:rPr>
  </w:style>
  <w:style w:type="paragraph" w:customStyle="1" w:styleId="1126">
    <w:name w:val="xl257"/>
    <w:basedOn w:val="1"/>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center"/>
    </w:pPr>
    <w:rPr>
      <w:b/>
      <w:bCs/>
      <w:color w:val="000000"/>
      <w:sz w:val="20"/>
      <w:szCs w:val="20"/>
    </w:rPr>
  </w:style>
  <w:style w:type="paragraph" w:customStyle="1" w:styleId="1127">
    <w:name w:val="xl258"/>
    <w:basedOn w:val="1"/>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20"/>
      <w:szCs w:val="20"/>
    </w:rPr>
  </w:style>
  <w:style w:type="paragraph" w:customStyle="1" w:styleId="1128">
    <w:name w:val="xl259"/>
    <w:basedOn w:val="1"/>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color w:val="000000"/>
      <w:sz w:val="20"/>
      <w:szCs w:val="20"/>
    </w:rPr>
  </w:style>
  <w:style w:type="paragraph" w:customStyle="1" w:styleId="1129">
    <w:name w:val="xl26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0"/>
      <w:szCs w:val="20"/>
    </w:rPr>
  </w:style>
  <w:style w:type="paragraph" w:customStyle="1" w:styleId="1130">
    <w:name w:val="xl261"/>
    <w:basedOn w:val="1"/>
    <w:uiPriority w:val="0"/>
    <w:pPr>
      <w:spacing w:before="100" w:beforeAutospacing="1" w:after="100" w:afterAutospacing="1"/>
    </w:pPr>
    <w:rPr>
      <w:rFonts w:ascii="Calibri" w:hAnsi="Calibri"/>
    </w:rPr>
  </w:style>
  <w:style w:type="character" w:customStyle="1" w:styleId="1131">
    <w:name w:val="WW-Absatz-Standardschriftart"/>
    <w:uiPriority w:val="0"/>
  </w:style>
  <w:style w:type="character" w:customStyle="1" w:styleId="1132">
    <w:name w:val="WW-Absatz-Standardschriftart1"/>
    <w:uiPriority w:val="0"/>
  </w:style>
  <w:style w:type="character" w:customStyle="1" w:styleId="1133">
    <w:name w:val="WW-Absatz-Standardschriftart111"/>
    <w:uiPriority w:val="0"/>
  </w:style>
  <w:style w:type="character" w:customStyle="1" w:styleId="1134">
    <w:name w:val="WW-Absatz-Standardschriftart1111"/>
    <w:uiPriority w:val="0"/>
  </w:style>
  <w:style w:type="character" w:customStyle="1" w:styleId="1135">
    <w:name w:val="WW-Absatz-Standardschriftart11111"/>
    <w:uiPriority w:val="0"/>
  </w:style>
  <w:style w:type="character" w:customStyle="1" w:styleId="1136">
    <w:name w:val="WW-Absatz-Standardschriftart111111"/>
    <w:uiPriority w:val="0"/>
  </w:style>
  <w:style w:type="character" w:customStyle="1" w:styleId="1137">
    <w:name w:val="WW-Absatz-Standardschriftart1111111"/>
    <w:uiPriority w:val="0"/>
  </w:style>
  <w:style w:type="character" w:customStyle="1" w:styleId="1138">
    <w:name w:val="WW-Absatz-Standardschriftart11111111"/>
    <w:uiPriority w:val="0"/>
  </w:style>
  <w:style w:type="character" w:customStyle="1" w:styleId="1139">
    <w:name w:val="WW-Absatz-Standardschriftart1111111111"/>
    <w:uiPriority w:val="0"/>
  </w:style>
  <w:style w:type="character" w:customStyle="1" w:styleId="1140">
    <w:name w:val="WW-Absatz-Standardschriftart11111111111"/>
    <w:uiPriority w:val="0"/>
  </w:style>
  <w:style w:type="character" w:customStyle="1" w:styleId="1141">
    <w:name w:val="WW-Absatz-Standardschriftart111111111111"/>
    <w:uiPriority w:val="0"/>
  </w:style>
  <w:style w:type="character" w:customStyle="1" w:styleId="1142">
    <w:name w:val="WW-Absatz-Standardschriftart1111111111111"/>
    <w:uiPriority w:val="0"/>
  </w:style>
  <w:style w:type="character" w:customStyle="1" w:styleId="1143">
    <w:name w:val="WW-Absatz-Standardschriftart11111111111111"/>
    <w:uiPriority w:val="0"/>
  </w:style>
  <w:style w:type="character" w:customStyle="1" w:styleId="1144">
    <w:name w:val="WW-Absatz-Standardschriftart111111111111111"/>
    <w:uiPriority w:val="0"/>
  </w:style>
  <w:style w:type="character" w:customStyle="1" w:styleId="1145">
    <w:name w:val="WW-Absatz-Standardschriftart1111111111111111"/>
    <w:uiPriority w:val="0"/>
  </w:style>
  <w:style w:type="character" w:customStyle="1" w:styleId="1146">
    <w:name w:val="WW-Absatz-Standardschriftart11111111111111111"/>
    <w:uiPriority w:val="0"/>
  </w:style>
  <w:style w:type="character" w:customStyle="1" w:styleId="1147">
    <w:name w:val="WW-Absatz-Standardschriftart111111111111111111"/>
    <w:uiPriority w:val="0"/>
  </w:style>
  <w:style w:type="character" w:customStyle="1" w:styleId="1148">
    <w:name w:val="WW-Absatz-Standardschriftart1111111111111111111"/>
    <w:uiPriority w:val="0"/>
  </w:style>
  <w:style w:type="character" w:customStyle="1" w:styleId="1149">
    <w:name w:val="WW-Absatz-Standardschriftart11111111111111111111"/>
    <w:uiPriority w:val="0"/>
  </w:style>
  <w:style w:type="character" w:customStyle="1" w:styleId="1150">
    <w:name w:val="WW-Absatz-Standardschriftart111111111111111111111"/>
    <w:uiPriority w:val="0"/>
  </w:style>
  <w:style w:type="character" w:customStyle="1" w:styleId="1151">
    <w:name w:val="WW-Absatz-Standardschriftart1111111111111111111111"/>
    <w:uiPriority w:val="0"/>
  </w:style>
  <w:style w:type="character" w:customStyle="1" w:styleId="1152">
    <w:name w:val="WW-Absatz-Standardschriftart11111111111111111111111"/>
    <w:uiPriority w:val="0"/>
  </w:style>
  <w:style w:type="character" w:customStyle="1" w:styleId="1153">
    <w:name w:val="WW-Absatz-Standardschriftart111111111111111111111111"/>
    <w:uiPriority w:val="0"/>
  </w:style>
  <w:style w:type="character" w:customStyle="1" w:styleId="1154">
    <w:name w:val="WW-Absatz-Standardschriftart1111111111111111111111111"/>
    <w:uiPriority w:val="0"/>
  </w:style>
  <w:style w:type="character" w:customStyle="1" w:styleId="1155">
    <w:name w:val="WW-Absatz-Standardschriftart11111111111111111111111111"/>
    <w:uiPriority w:val="0"/>
  </w:style>
  <w:style w:type="character" w:customStyle="1" w:styleId="1156">
    <w:name w:val="WW-Absatz-Standardschriftart111111111111111111111111111"/>
    <w:uiPriority w:val="0"/>
  </w:style>
  <w:style w:type="character" w:customStyle="1" w:styleId="1157">
    <w:name w:val="WW-Absatz-Standardschriftart1111111111111111111111111111"/>
    <w:uiPriority w:val="0"/>
  </w:style>
  <w:style w:type="character" w:customStyle="1" w:styleId="1158">
    <w:name w:val="WW-Absatz-Standardschriftart11111111111111111111111111111"/>
    <w:uiPriority w:val="0"/>
  </w:style>
  <w:style w:type="character" w:customStyle="1" w:styleId="1159">
    <w:name w:val="WW-Absatz-Standardschriftart111111111111111111111111111111"/>
    <w:uiPriority w:val="0"/>
  </w:style>
  <w:style w:type="character" w:customStyle="1" w:styleId="1160">
    <w:name w:val="WW-Absatz-Standardschriftart1111111111111111111111111111111"/>
    <w:uiPriority w:val="0"/>
  </w:style>
  <w:style w:type="character" w:customStyle="1" w:styleId="1161">
    <w:name w:val="WW-Absatz-Standardschriftart11111111111111111111111111111111"/>
    <w:uiPriority w:val="0"/>
  </w:style>
  <w:style w:type="character" w:customStyle="1" w:styleId="1162">
    <w:name w:val="WW-Absatz-Standardschriftart111111111111111111111111111111111"/>
    <w:uiPriority w:val="0"/>
  </w:style>
  <w:style w:type="character" w:customStyle="1" w:styleId="1163">
    <w:name w:val="WW-Absatz-Standardschriftart1111111111111111111111111111111111"/>
    <w:uiPriority w:val="0"/>
  </w:style>
  <w:style w:type="character" w:customStyle="1" w:styleId="1164">
    <w:name w:val="WW-Absatz-Standardschriftart11111111111111111111111111111111111"/>
    <w:uiPriority w:val="0"/>
  </w:style>
  <w:style w:type="character" w:customStyle="1" w:styleId="1165">
    <w:name w:val="WW-Absatz-Standardschriftart111111111111111111111111111111111111"/>
    <w:uiPriority w:val="0"/>
  </w:style>
  <w:style w:type="paragraph" w:customStyle="1" w:styleId="1166">
    <w:name w:val="Горизонтальная линия"/>
    <w:basedOn w:val="1"/>
    <w:next w:val="42"/>
    <w:uiPriority w:val="0"/>
    <w:pPr>
      <w:suppressLineNumbers/>
      <w:pBdr>
        <w:bottom w:val="double" w:color="808080" w:sz="0" w:space="0"/>
      </w:pBdr>
      <w:suppressAutoHyphens/>
      <w:spacing w:after="283"/>
    </w:pPr>
    <w:rPr>
      <w:sz w:val="12"/>
      <w:szCs w:val="12"/>
      <w:lang w:eastAsia="ar-SA"/>
    </w:rPr>
  </w:style>
  <w:style w:type="paragraph" w:customStyle="1" w:styleId="1167">
    <w:name w:val="xl262"/>
    <w:basedOn w:val="1"/>
    <w:uiPriority w:val="0"/>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1168">
    <w:name w:val="xl263"/>
    <w:basedOn w:val="1"/>
    <w:uiPriority w:val="0"/>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1169">
    <w:name w:val="xl264"/>
    <w:basedOn w:val="1"/>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Arial CYR" w:hAnsi="Arial CYR" w:cs="Arial CYR"/>
      <w:sz w:val="20"/>
      <w:szCs w:val="20"/>
    </w:rPr>
  </w:style>
  <w:style w:type="paragraph" w:customStyle="1" w:styleId="1170">
    <w:name w:val="xl265"/>
    <w:basedOn w:val="1"/>
    <w:uiPriority w:val="0"/>
    <w:pPr>
      <w:pBdr>
        <w:left w:val="single" w:color="000000" w:sz="4" w:space="0"/>
        <w:right w:val="single" w:color="000000" w:sz="4" w:space="0"/>
      </w:pBdr>
      <w:spacing w:before="100" w:beforeAutospacing="1" w:after="100" w:afterAutospacing="1"/>
      <w:jc w:val="center"/>
      <w:textAlignment w:val="center"/>
    </w:pPr>
    <w:rPr>
      <w:rFonts w:ascii="Arial CYR" w:hAnsi="Arial CYR" w:cs="Arial CYR"/>
      <w:sz w:val="20"/>
      <w:szCs w:val="20"/>
    </w:rPr>
  </w:style>
  <w:style w:type="paragraph" w:customStyle="1" w:styleId="1171">
    <w:name w:val="xl266"/>
    <w:basedOn w:val="1"/>
    <w:uiPriority w:val="0"/>
    <w:pPr>
      <w:pBdr>
        <w:left w:val="single" w:color="000000" w:sz="4" w:space="0"/>
        <w:bottom w:val="single" w:color="000000" w:sz="4" w:space="0"/>
        <w:right w:val="single" w:color="000000" w:sz="4" w:space="0"/>
      </w:pBdr>
      <w:spacing w:before="100" w:beforeAutospacing="1" w:after="100" w:afterAutospacing="1"/>
      <w:jc w:val="center"/>
      <w:textAlignment w:val="center"/>
    </w:pPr>
    <w:rPr>
      <w:rFonts w:ascii="Arial CYR" w:hAnsi="Arial CYR" w:cs="Arial CYR"/>
      <w:sz w:val="20"/>
      <w:szCs w:val="20"/>
    </w:rPr>
  </w:style>
  <w:style w:type="paragraph" w:customStyle="1" w:styleId="1172">
    <w:name w:val="xl26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Arial CYR" w:hAnsi="Arial CYR" w:cs="Arial CYR"/>
      <w:b/>
      <w:bCs/>
      <w:sz w:val="20"/>
      <w:szCs w:val="20"/>
    </w:rPr>
  </w:style>
  <w:style w:type="paragraph" w:customStyle="1" w:styleId="1173">
    <w:name w:val="xl8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74">
    <w:name w:val="xl8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175">
    <w:name w:val="xl8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176">
    <w:name w:val="xl8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177">
    <w:name w:val="xl805"/>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178">
    <w:name w:val="xl806"/>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179">
    <w:name w:val="xl807"/>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180">
    <w:name w:val="xl808"/>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181">
    <w:name w:val="xl8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2">
    <w:name w:val="xl8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3">
    <w:name w:val="xl8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4">
    <w:name w:val="xl8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5">
    <w:name w:val="xl8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6">
    <w:name w:val="xl8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187">
    <w:name w:val="xl8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8">
    <w:name w:val="xl8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89">
    <w:name w:val="xl81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190">
    <w:name w:val="xl818"/>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191">
    <w:name w:val="xl81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192">
    <w:name w:val="xl82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193">
    <w:name w:val="xl8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94">
    <w:name w:val="xl8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95">
    <w:name w:val="xl8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96">
    <w:name w:val="xl8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97">
    <w:name w:val="xl8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198">
    <w:name w:val="xl8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199">
    <w:name w:val="xl8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00">
    <w:name w:val="xl8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01">
    <w:name w:val="xl8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02">
    <w:name w:val="xl83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03">
    <w:name w:val="xl8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04">
    <w:name w:val="xl8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05">
    <w:name w:val="xl8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206">
    <w:name w:val="xl8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07">
    <w:name w:val="xl8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208">
    <w:name w:val="xl83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09">
    <w:name w:val="xl8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10">
    <w:name w:val="xl83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11">
    <w:name w:val="xl8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212">
    <w:name w:val="xl8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13">
    <w:name w:val="xl8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214">
    <w:name w:val="xl8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215">
    <w:name w:val="xl8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16">
    <w:name w:val="xl8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17">
    <w:name w:val="xl8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18">
    <w:name w:val="xl8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19">
    <w:name w:val="xl847"/>
    <w:basedOn w:val="1"/>
    <w:uiPriority w:val="0"/>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20">
    <w:name w:val="xl848"/>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221">
    <w:name w:val="xl849"/>
    <w:basedOn w:val="1"/>
    <w:uiPriority w:val="0"/>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22">
    <w:name w:val="xl8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223">
    <w:name w:val="xl8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24">
    <w:name w:val="xl852"/>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225">
    <w:name w:val="xl853"/>
    <w:basedOn w:val="1"/>
    <w:uiPriority w:val="0"/>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26">
    <w:name w:val="xl854"/>
    <w:basedOn w:val="1"/>
    <w:uiPriority w:val="0"/>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27">
    <w:name w:val="xl8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28">
    <w:name w:val="xl85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29">
    <w:name w:val="xl8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30">
    <w:name w:val="xl858"/>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pPr>
  </w:style>
  <w:style w:type="paragraph" w:customStyle="1" w:styleId="1231">
    <w:name w:val="xl859"/>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pPr>
  </w:style>
  <w:style w:type="paragraph" w:customStyle="1" w:styleId="1232">
    <w:name w:val="xl860"/>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rPr>
      <w:sz w:val="20"/>
      <w:szCs w:val="20"/>
    </w:rPr>
  </w:style>
  <w:style w:type="paragraph" w:customStyle="1" w:styleId="1233">
    <w:name w:val="xl861"/>
    <w:basedOn w:val="1"/>
    <w:uiPriority w:val="0"/>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34">
    <w:name w:val="xl8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35">
    <w:name w:val="xl863"/>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236">
    <w:name w:val="xl8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rPr>
  </w:style>
  <w:style w:type="paragraph" w:customStyle="1" w:styleId="1237">
    <w:name w:val="xl865"/>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238">
    <w:name w:val="xl86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39">
    <w:name w:val="xl8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1240">
    <w:name w:val="xl8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41">
    <w:name w:val="xl869"/>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1242">
    <w:name w:val="xl8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243">
    <w:name w:val="xl871"/>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1244">
    <w:name w:val="xl87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1245">
    <w:name w:val="xl87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46">
    <w:name w:val="xl87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247">
    <w:name w:val="xl8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48">
    <w:name w:val="xl8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249">
    <w:name w:val="xl87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rPr>
  </w:style>
  <w:style w:type="paragraph" w:customStyle="1" w:styleId="1250">
    <w:name w:val="xl8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51">
    <w:name w:val="xl8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52">
    <w:name w:val="xl8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253">
    <w:name w:val="xl8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54">
    <w:name w:val="xl8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55">
    <w:name w:val="xl8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56">
    <w:name w:val="xl8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57">
    <w:name w:val="xl885"/>
    <w:basedOn w:val="1"/>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1258">
    <w:name w:val="xl886"/>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1259">
    <w:name w:val="xl887"/>
    <w:basedOn w:val="1"/>
    <w:uiPriority w:val="0"/>
    <w:pPr>
      <w:pBdr>
        <w:top w:val="single" w:color="auto" w:sz="4" w:space="0"/>
        <w:left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260">
    <w:name w:val="xl88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61">
    <w:name w:val="xl889"/>
    <w:basedOn w:val="1"/>
    <w:uiPriority w:val="0"/>
    <w:pPr>
      <w:pBdr>
        <w:top w:val="single" w:color="auto" w:sz="4" w:space="0"/>
        <w:left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62">
    <w:name w:val="xl890"/>
    <w:basedOn w:val="1"/>
    <w:uiPriority w:val="0"/>
    <w:pPr>
      <w:pBdr>
        <w:top w:val="single" w:color="auto" w:sz="4" w:space="0"/>
        <w:left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263">
    <w:name w:val="xl89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64">
    <w:name w:val="xl892"/>
    <w:basedOn w:val="1"/>
    <w:uiPriority w:val="0"/>
    <w:pPr>
      <w:pBdr>
        <w:top w:val="single" w:color="auto" w:sz="4" w:space="0"/>
        <w:left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65">
    <w:name w:val="xl893"/>
    <w:basedOn w:val="1"/>
    <w:uiPriority w:val="0"/>
    <w:pPr>
      <w:pBdr>
        <w:top w:val="single" w:color="auto" w:sz="4" w:space="0"/>
        <w:left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66">
    <w:name w:val="xl89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67">
    <w:name w:val="xl89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68">
    <w:name w:val="xl89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69">
    <w:name w:val="xl897"/>
    <w:basedOn w:val="1"/>
    <w:uiPriority w:val="0"/>
    <w:pPr>
      <w:pBdr>
        <w:top w:val="single" w:color="auto" w:sz="4" w:space="0"/>
        <w:left w:val="single" w:color="auto" w:sz="4" w:space="0"/>
        <w:right w:val="single" w:color="auto" w:sz="4" w:space="0"/>
      </w:pBdr>
      <w:shd w:val="clear" w:color="000000" w:fill="FCD5B4"/>
      <w:spacing w:before="100" w:beforeAutospacing="1" w:after="100" w:afterAutospacing="1"/>
      <w:jc w:val="center"/>
      <w:textAlignment w:val="center"/>
    </w:pPr>
  </w:style>
  <w:style w:type="paragraph" w:customStyle="1" w:styleId="1270">
    <w:name w:val="xl89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71">
    <w:name w:val="xl8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72">
    <w:name w:val="xl9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273">
    <w:name w:val="xl9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274">
    <w:name w:val="xl90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275">
    <w:name w:val="xl9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76">
    <w:name w:val="xl90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277">
    <w:name w:val="xl9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278">
    <w:name w:val="xl9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279">
    <w:name w:val="xl9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280">
    <w:name w:val="xl908"/>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color w:val="000000"/>
    </w:rPr>
  </w:style>
  <w:style w:type="paragraph" w:customStyle="1" w:styleId="1281">
    <w:name w:val="xl90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282">
    <w:name w:val="xl910"/>
    <w:basedOn w:val="1"/>
    <w:uiPriority w:val="0"/>
    <w:pPr>
      <w:pBdr>
        <w:top w:val="single" w:color="auto" w:sz="4" w:space="0"/>
        <w:bottom w:val="single" w:color="auto" w:sz="4" w:space="0"/>
      </w:pBdr>
      <w:spacing w:before="100" w:beforeAutospacing="1" w:after="100" w:afterAutospacing="1"/>
      <w:jc w:val="center"/>
      <w:textAlignment w:val="center"/>
    </w:pPr>
  </w:style>
  <w:style w:type="paragraph" w:customStyle="1" w:styleId="1283">
    <w:name w:val="xl911"/>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84">
    <w:name w:val="xl9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285">
    <w:name w:val="xl9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86">
    <w:name w:val="xl9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87">
    <w:name w:val="xl915"/>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rPr>
      <w:b/>
      <w:bCs/>
    </w:rPr>
  </w:style>
  <w:style w:type="paragraph" w:customStyle="1" w:styleId="1288">
    <w:name w:val="xl9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289">
    <w:name w:val="font12"/>
    <w:basedOn w:val="1"/>
    <w:uiPriority w:val="0"/>
    <w:pPr>
      <w:spacing w:before="100" w:beforeAutospacing="1" w:after="100" w:afterAutospacing="1"/>
    </w:pPr>
    <w:rPr>
      <w:color w:val="000000"/>
      <w:sz w:val="22"/>
      <w:szCs w:val="22"/>
    </w:rPr>
  </w:style>
  <w:style w:type="paragraph" w:customStyle="1" w:styleId="1290">
    <w:name w:val="xl12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91">
    <w:name w:val="xl12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292">
    <w:name w:val="xl12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293">
    <w:name w:val="xl12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94">
    <w:name w:val="xl12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95">
    <w:name w:val="xl12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296">
    <w:name w:val="xl1216"/>
    <w:basedOn w:val="1"/>
    <w:uiPriority w:val="0"/>
    <w:pPr>
      <w:spacing w:before="100" w:beforeAutospacing="1" w:after="100" w:afterAutospacing="1"/>
    </w:pPr>
  </w:style>
  <w:style w:type="paragraph" w:customStyle="1" w:styleId="1297">
    <w:name w:val="xl12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0"/>
      <w:szCs w:val="20"/>
    </w:rPr>
  </w:style>
  <w:style w:type="paragraph" w:customStyle="1" w:styleId="1298">
    <w:name w:val="xl12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299">
    <w:name w:val="xl12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0">
    <w:name w:val="xl12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1">
    <w:name w:val="xl12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rPr>
  </w:style>
  <w:style w:type="paragraph" w:customStyle="1" w:styleId="1302">
    <w:name w:val="xl12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03">
    <w:name w:val="xl12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4">
    <w:name w:val="xl12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5">
    <w:name w:val="xl12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6">
    <w:name w:val="xl12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307">
    <w:name w:val="xl12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308">
    <w:name w:val="xl12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09">
    <w:name w:val="xl12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10">
    <w:name w:val="xl12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11">
    <w:name w:val="xl1231"/>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sz w:val="20"/>
      <w:szCs w:val="20"/>
    </w:rPr>
  </w:style>
  <w:style w:type="paragraph" w:customStyle="1" w:styleId="1312">
    <w:name w:val="xl1232"/>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textAlignment w:val="center"/>
    </w:pPr>
    <w:rPr>
      <w:sz w:val="20"/>
      <w:szCs w:val="20"/>
    </w:rPr>
  </w:style>
  <w:style w:type="paragraph" w:customStyle="1" w:styleId="1313">
    <w:name w:val="xl12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14">
    <w:name w:val="xl12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15">
    <w:name w:val="xl12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16">
    <w:name w:val="xl123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customStyle="1" w:styleId="1317">
    <w:name w:val="xl12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18">
    <w:name w:val="xl12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19">
    <w:name w:val="xl12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20">
    <w:name w:val="xl12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21">
    <w:name w:val="xl12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22">
    <w:name w:val="xl12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23">
    <w:name w:val="xl12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24">
    <w:name w:val="xl12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25">
    <w:name w:val="xl12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326">
    <w:name w:val="xl12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libri" w:hAnsi="Calibri" w:cs="Calibri"/>
    </w:rPr>
  </w:style>
  <w:style w:type="paragraph" w:customStyle="1" w:styleId="1327">
    <w:name w:val="xl12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28">
    <w:name w:val="xl12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329">
    <w:name w:val="xl12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330">
    <w:name w:val="xl12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331">
    <w:name w:val="xl12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332">
    <w:name w:val="xl12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33">
    <w:name w:val="xl12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34">
    <w:name w:val="xl125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335">
    <w:name w:val="xl12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36">
    <w:name w:val="xl12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337">
    <w:name w:val="xl125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style>
  <w:style w:type="paragraph" w:customStyle="1" w:styleId="1338">
    <w:name w:val="xl1258"/>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339">
    <w:name w:val="xl12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40">
    <w:name w:val="xl12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41">
    <w:name w:val="xl12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42">
    <w:name w:val="xl12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43">
    <w:name w:val="xl1263"/>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style>
  <w:style w:type="paragraph" w:customStyle="1" w:styleId="1344">
    <w:name w:val="xl12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45">
    <w:name w:val="xl12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46">
    <w:name w:val="xl12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i/>
      <w:iCs/>
    </w:rPr>
  </w:style>
  <w:style w:type="paragraph" w:customStyle="1" w:styleId="1347">
    <w:name w:val="xl12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48">
    <w:name w:val="xl12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49">
    <w:name w:val="xl12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50">
    <w:name w:val="xl12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51">
    <w:name w:val="xl12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52">
    <w:name w:val="xl12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53">
    <w:name w:val="xl12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54">
    <w:name w:val="xl1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55">
    <w:name w:val="xl12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56">
    <w:name w:val="xl12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57">
    <w:name w:val="xl1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58">
    <w:name w:val="xl12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59">
    <w:name w:val="xl12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360">
    <w:name w:val="xl12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361">
    <w:name w:val="xl12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362">
    <w:name w:val="xl12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363">
    <w:name w:val="xl12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64">
    <w:name w:val="xl12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365">
    <w:name w:val="xl12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366">
    <w:name w:val="xl12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67">
    <w:name w:val="xl12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68">
    <w:name w:val="xl12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69">
    <w:name w:val="xl12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70">
    <w:name w:val="xl12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371">
    <w:name w:val="xl12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72">
    <w:name w:val="xl12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73">
    <w:name w:val="xl12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374">
    <w:name w:val="xl12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75">
    <w:name w:val="xl1295"/>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376">
    <w:name w:val="xl1296"/>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377">
    <w:name w:val="xl1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78">
    <w:name w:val="xl12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79">
    <w:name w:val="xl12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80">
    <w:name w:val="xl13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381">
    <w:name w:val="xl13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382">
    <w:name w:val="xl13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83">
    <w:name w:val="xl13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8"/>
      <w:szCs w:val="28"/>
    </w:rPr>
  </w:style>
  <w:style w:type="paragraph" w:customStyle="1" w:styleId="1384">
    <w:name w:val="xl13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385">
    <w:name w:val="xl1305"/>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386">
    <w:name w:val="xl13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1387">
    <w:name w:val="xl13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88">
    <w:name w:val="xl130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1389">
    <w:name w:val="xl1309"/>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390">
    <w:name w:val="xl13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391">
    <w:name w:val="xl13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392">
    <w:name w:val="xl1312"/>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393">
    <w:name w:val="xl1313"/>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394">
    <w:name w:val="xl1314"/>
    <w:basedOn w:val="1"/>
    <w:uiPriority w:val="0"/>
    <w:pPr>
      <w:pBdr>
        <w:top w:val="single" w:color="auto" w:sz="4" w:space="0"/>
        <w:bottom w:val="single" w:color="auto" w:sz="4" w:space="0"/>
      </w:pBdr>
      <w:spacing w:before="100" w:beforeAutospacing="1" w:after="100" w:afterAutospacing="1"/>
      <w:jc w:val="center"/>
      <w:textAlignment w:val="center"/>
    </w:pPr>
  </w:style>
  <w:style w:type="paragraph" w:customStyle="1" w:styleId="1395">
    <w:name w:val="xl1315"/>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396">
    <w:name w:val="xl1316"/>
    <w:basedOn w:val="1"/>
    <w:uiPriority w:val="0"/>
    <w:pPr>
      <w:pBdr>
        <w:top w:val="single" w:color="auto" w:sz="4" w:space="0"/>
        <w:bottom w:val="single" w:color="auto" w:sz="4" w:space="0"/>
      </w:pBdr>
      <w:spacing w:before="100" w:beforeAutospacing="1" w:after="100" w:afterAutospacing="1"/>
      <w:jc w:val="center"/>
    </w:pPr>
    <w:rPr>
      <w:b/>
      <w:bCs/>
    </w:rPr>
  </w:style>
  <w:style w:type="paragraph" w:customStyle="1" w:styleId="1397">
    <w:name w:val="xl1317"/>
    <w:basedOn w:val="1"/>
    <w:uiPriority w:val="0"/>
    <w:pPr>
      <w:pBdr>
        <w:top w:val="single" w:color="auto" w:sz="4" w:space="0"/>
        <w:bottom w:val="single" w:color="auto" w:sz="4" w:space="0"/>
      </w:pBdr>
      <w:spacing w:before="100" w:beforeAutospacing="1" w:after="100" w:afterAutospacing="1"/>
      <w:jc w:val="center"/>
    </w:pPr>
  </w:style>
  <w:style w:type="paragraph" w:customStyle="1" w:styleId="1398">
    <w:name w:val="xl1318"/>
    <w:basedOn w:val="1"/>
    <w:uiPriority w:val="0"/>
    <w:pPr>
      <w:pBdr>
        <w:top w:val="single" w:color="auto" w:sz="4" w:space="0"/>
        <w:bottom w:val="single" w:color="auto" w:sz="4" w:space="0"/>
        <w:right w:val="single" w:color="auto" w:sz="4" w:space="0"/>
      </w:pBdr>
      <w:spacing w:before="100" w:beforeAutospacing="1" w:after="100" w:afterAutospacing="1"/>
      <w:jc w:val="center"/>
    </w:pPr>
  </w:style>
  <w:style w:type="paragraph" w:customStyle="1" w:styleId="1399">
    <w:name w:val="xl131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400">
    <w:name w:val="xl1320"/>
    <w:basedOn w:val="1"/>
    <w:uiPriority w:val="0"/>
    <w:pPr>
      <w:pBdr>
        <w:top w:val="single" w:color="auto" w:sz="4" w:space="0"/>
        <w:left w:val="single" w:color="auto" w:sz="4" w:space="0"/>
        <w:bottom w:val="single" w:color="auto" w:sz="4" w:space="0"/>
      </w:pBdr>
      <w:shd w:val="clear" w:color="000000" w:fill="FFFF00"/>
      <w:spacing w:before="100" w:beforeAutospacing="1" w:after="100" w:afterAutospacing="1"/>
      <w:jc w:val="center"/>
      <w:textAlignment w:val="center"/>
    </w:pPr>
    <w:rPr>
      <w:b/>
      <w:bCs/>
    </w:rPr>
  </w:style>
  <w:style w:type="paragraph" w:customStyle="1" w:styleId="1401">
    <w:name w:val="xl1321"/>
    <w:basedOn w:val="1"/>
    <w:uiPriority w:val="0"/>
    <w:pPr>
      <w:pBdr>
        <w:top w:val="single" w:color="auto" w:sz="4" w:space="0"/>
        <w:bottom w:val="single" w:color="auto" w:sz="4" w:space="0"/>
      </w:pBdr>
      <w:shd w:val="clear" w:color="000000" w:fill="FFFF00"/>
      <w:spacing w:before="100" w:beforeAutospacing="1" w:after="100" w:afterAutospacing="1"/>
      <w:jc w:val="center"/>
      <w:textAlignment w:val="center"/>
    </w:pPr>
    <w:rPr>
      <w:b/>
      <w:bCs/>
    </w:rPr>
  </w:style>
  <w:style w:type="paragraph" w:customStyle="1" w:styleId="1402">
    <w:name w:val="xl1322"/>
    <w:basedOn w:val="1"/>
    <w:uiPriority w:val="0"/>
    <w:pPr>
      <w:pBdr>
        <w:top w:val="single" w:color="auto" w:sz="4" w:space="0"/>
        <w:bottom w:val="single" w:color="auto" w:sz="4" w:space="0"/>
      </w:pBdr>
      <w:spacing w:before="100" w:beforeAutospacing="1" w:after="100" w:afterAutospacing="1"/>
      <w:jc w:val="center"/>
      <w:textAlignment w:val="center"/>
    </w:pPr>
  </w:style>
  <w:style w:type="paragraph" w:customStyle="1" w:styleId="1403">
    <w:name w:val="xl132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04">
    <w:name w:val="xl1324"/>
    <w:basedOn w:val="1"/>
    <w:uiPriority w:val="0"/>
    <w:pPr>
      <w:pBdr>
        <w:top w:val="single" w:color="auto" w:sz="4" w:space="0"/>
        <w:bottom w:val="single" w:color="auto" w:sz="4" w:space="0"/>
      </w:pBdr>
      <w:shd w:val="clear" w:color="000000" w:fill="FFFF00"/>
      <w:spacing w:before="100" w:beforeAutospacing="1" w:after="100" w:afterAutospacing="1"/>
      <w:jc w:val="center"/>
      <w:textAlignment w:val="center"/>
    </w:pPr>
    <w:rPr>
      <w:b/>
      <w:bCs/>
    </w:rPr>
  </w:style>
  <w:style w:type="paragraph" w:customStyle="1" w:styleId="1405">
    <w:name w:val="xl1325"/>
    <w:basedOn w:val="1"/>
    <w:uiPriority w:val="0"/>
    <w:pPr>
      <w:pBdr>
        <w:top w:val="single" w:color="auto" w:sz="4" w:space="0"/>
        <w:bottom w:val="single" w:color="auto" w:sz="4" w:space="0"/>
      </w:pBdr>
      <w:spacing w:before="100" w:beforeAutospacing="1" w:after="100" w:afterAutospacing="1"/>
      <w:jc w:val="center"/>
    </w:pPr>
    <w:rPr>
      <w:b/>
      <w:bCs/>
    </w:rPr>
  </w:style>
  <w:style w:type="paragraph" w:customStyle="1" w:styleId="1406">
    <w:name w:val="xl1326"/>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407">
    <w:name w:val="xl1327"/>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408">
    <w:name w:val="xl1328"/>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409">
    <w:name w:val="xl1329"/>
    <w:basedOn w:val="1"/>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center"/>
      <w:textAlignment w:val="center"/>
    </w:pPr>
  </w:style>
  <w:style w:type="paragraph" w:customStyle="1" w:styleId="1410">
    <w:name w:val="xl1330"/>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411">
    <w:name w:val="xl1331"/>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412">
    <w:name w:val="xl1332"/>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413">
    <w:name w:val="xl1333"/>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414">
    <w:name w:val="xl17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415">
    <w:name w:val="xl17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16">
    <w:name w:val="xl17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1417">
    <w:name w:val="xl17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18">
    <w:name w:val="xl17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19">
    <w:name w:val="xl17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20">
    <w:name w:val="xl1766"/>
    <w:basedOn w:val="1"/>
    <w:uiPriority w:val="0"/>
    <w:pPr>
      <w:spacing w:before="100" w:beforeAutospacing="1" w:after="100" w:afterAutospacing="1"/>
    </w:pPr>
  </w:style>
  <w:style w:type="paragraph" w:customStyle="1" w:styleId="1421">
    <w:name w:val="xl176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b/>
      <w:bCs/>
    </w:rPr>
  </w:style>
  <w:style w:type="paragraph" w:customStyle="1" w:styleId="1422">
    <w:name w:val="xl17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23">
    <w:name w:val="xl17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24">
    <w:name w:val="xl17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25">
    <w:name w:val="xl17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26">
    <w:name w:val="xl17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27">
    <w:name w:val="xl17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28">
    <w:name w:val="xl17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429">
    <w:name w:val="xl17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430">
    <w:name w:val="xl17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431">
    <w:name w:val="xl17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1432">
    <w:name w:val="xl17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433">
    <w:name w:val="xl17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434">
    <w:name w:val="xl1780"/>
    <w:basedOn w:val="1"/>
    <w:uiPriority w:val="0"/>
    <w:pPr>
      <w:spacing w:before="100" w:beforeAutospacing="1" w:after="100" w:afterAutospacing="1"/>
    </w:pPr>
    <w:rPr>
      <w:sz w:val="20"/>
      <w:szCs w:val="20"/>
    </w:rPr>
  </w:style>
  <w:style w:type="paragraph" w:customStyle="1" w:styleId="1435">
    <w:name w:val="xl17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36">
    <w:name w:val="xl17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37">
    <w:name w:val="xl17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438">
    <w:name w:val="xl17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39">
    <w:name w:val="xl17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40">
    <w:name w:val="xl17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41">
    <w:name w:val="xl17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42">
    <w:name w:val="xl17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443">
    <w:name w:val="xl17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44">
    <w:name w:val="xl17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45">
    <w:name w:val="xl17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46">
    <w:name w:val="xl17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47">
    <w:name w:val="xl17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szCs w:val="20"/>
    </w:rPr>
  </w:style>
  <w:style w:type="paragraph" w:customStyle="1" w:styleId="1448">
    <w:name w:val="xl17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49">
    <w:name w:val="xl17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50">
    <w:name w:val="xl17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51">
    <w:name w:val="xl17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452">
    <w:name w:val="xl17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453">
    <w:name w:val="xl17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54">
    <w:name w:val="xl18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455">
    <w:name w:val="xl18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56">
    <w:name w:val="xl18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57">
    <w:name w:val="xl18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458">
    <w:name w:val="xl18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59">
    <w:name w:val="xl18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460">
    <w:name w:val="xl18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61">
    <w:name w:val="xl18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462">
    <w:name w:val="xl18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63">
    <w:name w:val="xl18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64">
    <w:name w:val="xl18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65">
    <w:name w:val="xl18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466">
    <w:name w:val="xl18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467">
    <w:name w:val="xl18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1468">
    <w:name w:val="xl18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469">
    <w:name w:val="xl18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70">
    <w:name w:val="xl18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1">
    <w:name w:val="xl18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2">
    <w:name w:val="xl18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3">
    <w:name w:val="xl18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74">
    <w:name w:val="xl18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5">
    <w:name w:val="xl18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6">
    <w:name w:val="xl18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7">
    <w:name w:val="xl18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78">
    <w:name w:val="xl18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79">
    <w:name w:val="xl18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0">
    <w:name w:val="xl18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1">
    <w:name w:val="xl18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2">
    <w:name w:val="xl18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3">
    <w:name w:val="xl18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84">
    <w:name w:val="xl18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5">
    <w:name w:val="xl18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6">
    <w:name w:val="xl18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87">
    <w:name w:val="xl18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1488">
    <w:name w:val="xl18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1489">
    <w:name w:val="xl18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90">
    <w:name w:val="xl18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1">
    <w:name w:val="xl18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2">
    <w:name w:val="xl18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93">
    <w:name w:val="xl18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494">
    <w:name w:val="xl18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5">
    <w:name w:val="xl18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6">
    <w:name w:val="xl18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497">
    <w:name w:val="xl18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8">
    <w:name w:val="xl18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cs="Calibri"/>
    </w:rPr>
  </w:style>
  <w:style w:type="paragraph" w:customStyle="1" w:styleId="1499">
    <w:name w:val="xl18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0">
    <w:name w:val="xl18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1">
    <w:name w:val="xl18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02">
    <w:name w:val="xl18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3">
    <w:name w:val="xl18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4">
    <w:name w:val="xl18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5">
    <w:name w:val="xl18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6">
    <w:name w:val="xl18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507">
    <w:name w:val="xl18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8">
    <w:name w:val="xl18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09">
    <w:name w:val="xl18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10">
    <w:name w:val="xl18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1">
    <w:name w:val="xl18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2">
    <w:name w:val="xl18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13">
    <w:name w:val="xl18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4">
    <w:name w:val="xl18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5">
    <w:name w:val="xl18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16">
    <w:name w:val="xl18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517">
    <w:name w:val="xl18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518">
    <w:name w:val="xl18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0"/>
      <w:szCs w:val="20"/>
    </w:rPr>
  </w:style>
  <w:style w:type="paragraph" w:customStyle="1" w:styleId="1519">
    <w:name w:val="xl18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520">
    <w:name w:val="xl18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521">
    <w:name w:val="xl18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22">
    <w:name w:val="xl18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23">
    <w:name w:val="xl18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24">
    <w:name w:val="xl18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525">
    <w:name w:val="xl18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26">
    <w:name w:val="xl18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27">
    <w:name w:val="xl18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528">
    <w:name w:val="xl18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529">
    <w:name w:val="xl18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530">
    <w:name w:val="xl18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31">
    <w:name w:val="xl18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532">
    <w:name w:val="xl18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533">
    <w:name w:val="xl18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534">
    <w:name w:val="xl18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rPr>
  </w:style>
  <w:style w:type="paragraph" w:customStyle="1" w:styleId="1535">
    <w:name w:val="xl18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libri" w:hAnsi="Calibri" w:cs="Calibri"/>
    </w:rPr>
  </w:style>
  <w:style w:type="paragraph" w:customStyle="1" w:styleId="1536">
    <w:name w:val="xl17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537">
    <w:name w:val="xl17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38">
    <w:name w:val="xl1759"/>
    <w:basedOn w:val="1"/>
    <w:uiPriority w:val="0"/>
    <w:pPr>
      <w:spacing w:before="100" w:beforeAutospacing="1" w:after="100" w:afterAutospacing="1"/>
    </w:pPr>
  </w:style>
  <w:style w:type="paragraph" w:customStyle="1" w:styleId="1539">
    <w:name w:val="xl1882"/>
    <w:basedOn w:val="1"/>
    <w:uiPriority w:val="0"/>
    <w:pPr>
      <w:pBdr>
        <w:top w:val="single" w:color="auto" w:sz="4" w:space="0"/>
        <w:bottom w:val="single" w:color="auto" w:sz="4" w:space="0"/>
      </w:pBdr>
      <w:spacing w:before="100" w:beforeAutospacing="1" w:after="100" w:afterAutospacing="1"/>
      <w:jc w:val="center"/>
      <w:textAlignment w:val="center"/>
    </w:pPr>
    <w:rPr>
      <w:b/>
      <w:bCs/>
    </w:rPr>
  </w:style>
  <w:style w:type="paragraph" w:customStyle="1" w:styleId="1540">
    <w:name w:val="xl1883"/>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rPr>
      <w:rFonts w:ascii="Arial CYR" w:hAnsi="Arial CYR" w:cs="Arial CYR"/>
      <w:sz w:val="20"/>
      <w:szCs w:val="20"/>
    </w:rPr>
  </w:style>
  <w:style w:type="paragraph" w:customStyle="1" w:styleId="1541">
    <w:name w:val="xl1884"/>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2">
    <w:name w:val="xl1885"/>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3">
    <w:name w:val="xl1886"/>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4">
    <w:name w:val="xl1887"/>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5">
    <w:name w:val="xl1888"/>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rPr>
      <w:rFonts w:ascii="Arial" w:hAnsi="Arial" w:cs="Arial"/>
      <w:b/>
      <w:bCs/>
      <w:sz w:val="20"/>
      <w:szCs w:val="20"/>
    </w:rPr>
  </w:style>
  <w:style w:type="paragraph" w:customStyle="1" w:styleId="1546">
    <w:name w:val="xl1889"/>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7">
    <w:name w:val="xl1890"/>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8">
    <w:name w:val="xl1891"/>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549">
    <w:name w:val="xl1892"/>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style>
  <w:style w:type="paragraph" w:customStyle="1" w:styleId="1550">
    <w:name w:val="xl18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51">
    <w:name w:val="xl18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552">
    <w:name w:val="xl18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53">
    <w:name w:val="xl18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54">
    <w:name w:val="xl18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55">
    <w:name w:val="xl18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556">
    <w:name w:val="xl1899"/>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rPr>
  </w:style>
  <w:style w:type="paragraph" w:customStyle="1" w:styleId="1557">
    <w:name w:val="xl190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style>
  <w:style w:type="paragraph" w:customStyle="1" w:styleId="1558">
    <w:name w:val="xl19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32"/>
      <w:szCs w:val="32"/>
    </w:rPr>
  </w:style>
  <w:style w:type="paragraph" w:customStyle="1" w:styleId="1559">
    <w:name w:val="xl190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60">
    <w:name w:val="xl190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61">
    <w:name w:val="xl1904"/>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562">
    <w:name w:val="xl190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rPr>
  </w:style>
  <w:style w:type="paragraph" w:customStyle="1" w:styleId="1563">
    <w:name w:val="xl190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rPr>
  </w:style>
  <w:style w:type="paragraph" w:customStyle="1" w:styleId="1564">
    <w:name w:val="xl190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65">
    <w:name w:val="xl190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566">
    <w:name w:val="xl190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567">
    <w:name w:val="xl191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68">
    <w:name w:val="xl19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69">
    <w:name w:val="xl24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570">
    <w:name w:val="xl24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1">
    <w:name w:val="xl24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2">
    <w:name w:val="xl24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573">
    <w:name w:val="xl25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4">
    <w:name w:val="xl25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75">
    <w:name w:val="xl25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576">
    <w:name w:val="xl25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7">
    <w:name w:val="xl25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8">
    <w:name w:val="xl25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79">
    <w:name w:val="xl25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80">
    <w:name w:val="xl25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81">
    <w:name w:val="xl25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82">
    <w:name w:val="xl25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83">
    <w:name w:val="xl25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584">
    <w:name w:val="xl25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85">
    <w:name w:val="xl25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586">
    <w:name w:val="xl25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587">
    <w:name w:val="xl25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588">
    <w:name w:val="xl25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89">
    <w:name w:val="xl25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590">
    <w:name w:val="xl25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1">
    <w:name w:val="xl25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2">
    <w:name w:val="xl25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593">
    <w:name w:val="xl25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4">
    <w:name w:val="xl25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5">
    <w:name w:val="xl25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6">
    <w:name w:val="xl25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597">
    <w:name w:val="xl2524"/>
    <w:basedOn w:val="1"/>
    <w:uiPriority w:val="0"/>
    <w:pPr>
      <w:spacing w:before="100" w:beforeAutospacing="1" w:after="100" w:afterAutospacing="1"/>
    </w:pPr>
  </w:style>
  <w:style w:type="paragraph" w:customStyle="1" w:styleId="1598">
    <w:name w:val="xl2525"/>
    <w:basedOn w:val="1"/>
    <w:uiPriority w:val="0"/>
    <w:pPr>
      <w:spacing w:before="100" w:beforeAutospacing="1" w:after="100" w:afterAutospacing="1"/>
    </w:pPr>
  </w:style>
  <w:style w:type="paragraph" w:customStyle="1" w:styleId="1599">
    <w:name w:val="xl25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0"/>
      <w:szCs w:val="20"/>
    </w:rPr>
  </w:style>
  <w:style w:type="paragraph" w:customStyle="1" w:styleId="1600">
    <w:name w:val="xl25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601">
    <w:name w:val="xl25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602">
    <w:name w:val="xl25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603">
    <w:name w:val="xl25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rPr>
  </w:style>
  <w:style w:type="paragraph" w:customStyle="1" w:styleId="1604">
    <w:name w:val="xl25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1605">
    <w:name w:val="xl25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06">
    <w:name w:val="xl25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07">
    <w:name w:val="xl25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08">
    <w:name w:val="xl25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09">
    <w:name w:val="xl25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610">
    <w:name w:val="xl25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11">
    <w:name w:val="xl25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612">
    <w:name w:val="xl25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613">
    <w:name w:val="xl25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14">
    <w:name w:val="xl2541"/>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615">
    <w:name w:val="xl25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16">
    <w:name w:val="xl254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617">
    <w:name w:val="xl25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18">
    <w:name w:val="xl25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19">
    <w:name w:val="xl25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620">
    <w:name w:val="xl25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21">
    <w:name w:val="xl25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622">
    <w:name w:val="xl25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623">
    <w:name w:val="xl25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24">
    <w:name w:val="xl25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25">
    <w:name w:val="xl25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26">
    <w:name w:val="xl25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627">
    <w:name w:val="xl25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28">
    <w:name w:val="xl25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29">
    <w:name w:val="xl25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30">
    <w:name w:val="xl25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31">
    <w:name w:val="xl25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632">
    <w:name w:val="xl25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633">
    <w:name w:val="xl25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634">
    <w:name w:val="xl25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35">
    <w:name w:val="xl25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636">
    <w:name w:val="xl25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637">
    <w:name w:val="xl25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638">
    <w:name w:val="xl25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39">
    <w:name w:val="xl25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640">
    <w:name w:val="xl25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641">
    <w:name w:val="xl25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642">
    <w:name w:val="xl25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643">
    <w:name w:val="xl25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44">
    <w:name w:val="xl25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45">
    <w:name w:val="xl25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46">
    <w:name w:val="xl25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47">
    <w:name w:val="xl25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48">
    <w:name w:val="xl25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49">
    <w:name w:val="xl25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0">
    <w:name w:val="xl25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1">
    <w:name w:val="xl25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2">
    <w:name w:val="xl25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3">
    <w:name w:val="xl25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4">
    <w:name w:val="xl25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5">
    <w:name w:val="xl25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656">
    <w:name w:val="xl25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7">
    <w:name w:val="xl25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8">
    <w:name w:val="xl25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59">
    <w:name w:val="xl25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660">
    <w:name w:val="xl25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1661">
    <w:name w:val="xl25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1662">
    <w:name w:val="xl25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3">
    <w:name w:val="xl25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4">
    <w:name w:val="xl25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5">
    <w:name w:val="xl25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6">
    <w:name w:val="xl25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1667">
    <w:name w:val="xl25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8">
    <w:name w:val="xl25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69">
    <w:name w:val="xl2596"/>
    <w:basedOn w:val="1"/>
    <w:uiPriority w:val="0"/>
    <w:pPr>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textAlignment w:val="center"/>
    </w:pPr>
  </w:style>
  <w:style w:type="paragraph" w:customStyle="1" w:styleId="1670">
    <w:name w:val="xl25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71">
    <w:name w:val="xl25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72">
    <w:name w:val="xl25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73">
    <w:name w:val="xl26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1674">
    <w:name w:val="xl26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675">
    <w:name w:val="xl26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76">
    <w:name w:val="xl26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677">
    <w:name w:val="xl26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678">
    <w:name w:val="xl26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79">
    <w:name w:val="xl26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80">
    <w:name w:val="xl2607"/>
    <w:basedOn w:val="1"/>
    <w:uiPriority w:val="0"/>
    <w:pPr>
      <w:spacing w:before="100" w:beforeAutospacing="1" w:after="100" w:afterAutospacing="1"/>
      <w:jc w:val="center"/>
      <w:textAlignment w:val="center"/>
    </w:pPr>
  </w:style>
  <w:style w:type="paragraph" w:customStyle="1" w:styleId="1681">
    <w:name w:val="xl26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82">
    <w:name w:val="xl26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83">
    <w:name w:val="xl26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1684">
    <w:name w:val="xl26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685">
    <w:name w:val="xl2612"/>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686">
    <w:name w:val="xl26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687">
    <w:name w:val="xl26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88">
    <w:name w:val="xl261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689">
    <w:name w:val="xl261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90">
    <w:name w:val="xl261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691">
    <w:name w:val="xl261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92">
    <w:name w:val="xl26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693">
    <w:name w:val="xl26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694">
    <w:name w:val="xl26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32"/>
      <w:szCs w:val="32"/>
    </w:rPr>
  </w:style>
  <w:style w:type="paragraph" w:customStyle="1" w:styleId="1695">
    <w:name w:val="xl2622"/>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696">
    <w:name w:val="xl262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697">
    <w:name w:val="xl2624"/>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698">
    <w:name w:val="xl262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699">
    <w:name w:val="xl262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700">
    <w:name w:val="xl262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701">
    <w:name w:val="xl262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702">
    <w:name w:val="xl262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rPr>
  </w:style>
  <w:style w:type="paragraph" w:customStyle="1" w:styleId="1703">
    <w:name w:val="xl263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04">
    <w:name w:val="xl263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rPr>
  </w:style>
  <w:style w:type="paragraph" w:customStyle="1" w:styleId="1705">
    <w:name w:val="xl263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06">
    <w:name w:val="xl26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707">
    <w:name w:val="xl26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08">
    <w:name w:val="xl26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09">
    <w:name w:val="font13"/>
    <w:basedOn w:val="1"/>
    <w:uiPriority w:val="0"/>
    <w:pPr>
      <w:spacing w:before="100" w:beforeAutospacing="1" w:after="100" w:afterAutospacing="1"/>
    </w:pPr>
    <w:rPr>
      <w:b/>
      <w:bCs/>
      <w:sz w:val="22"/>
      <w:szCs w:val="22"/>
    </w:rPr>
  </w:style>
  <w:style w:type="paragraph" w:customStyle="1" w:styleId="1710">
    <w:name w:val="font14"/>
    <w:basedOn w:val="1"/>
    <w:uiPriority w:val="0"/>
    <w:pPr>
      <w:spacing w:before="100" w:beforeAutospacing="1" w:after="100" w:afterAutospacing="1"/>
    </w:pPr>
    <w:rPr>
      <w:b/>
      <w:bCs/>
      <w:sz w:val="22"/>
      <w:szCs w:val="22"/>
    </w:rPr>
  </w:style>
  <w:style w:type="paragraph" w:customStyle="1" w:styleId="1711">
    <w:name w:val="font15"/>
    <w:basedOn w:val="1"/>
    <w:uiPriority w:val="0"/>
    <w:pPr>
      <w:spacing w:before="100" w:beforeAutospacing="1" w:after="100" w:afterAutospacing="1"/>
    </w:pPr>
    <w:rPr>
      <w:b/>
      <w:bCs/>
      <w:color w:val="000000"/>
      <w:sz w:val="22"/>
      <w:szCs w:val="22"/>
    </w:rPr>
  </w:style>
  <w:style w:type="paragraph" w:customStyle="1" w:styleId="1712">
    <w:name w:val="font16"/>
    <w:basedOn w:val="1"/>
    <w:uiPriority w:val="0"/>
    <w:pPr>
      <w:spacing w:before="100" w:beforeAutospacing="1" w:after="100" w:afterAutospacing="1"/>
    </w:pPr>
    <w:rPr>
      <w:b/>
      <w:bCs/>
      <w:color w:val="000000"/>
      <w:sz w:val="22"/>
      <w:szCs w:val="22"/>
    </w:rPr>
  </w:style>
  <w:style w:type="paragraph" w:customStyle="1" w:styleId="1713">
    <w:name w:val="xl39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14">
    <w:name w:val="xl39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15">
    <w:name w:val="xl39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716">
    <w:name w:val="xl39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17">
    <w:name w:val="xl39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18">
    <w:name w:val="xl39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19">
    <w:name w:val="xl39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20">
    <w:name w:val="xl39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721">
    <w:name w:val="xl39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22">
    <w:name w:val="xl39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723">
    <w:name w:val="xl39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24">
    <w:name w:val="xl39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25">
    <w:name w:val="xl39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26">
    <w:name w:val="xl39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27">
    <w:name w:val="xl39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28">
    <w:name w:val="xl39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29">
    <w:name w:val="xl39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30">
    <w:name w:val="xl3991"/>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731">
    <w:name w:val="xl3992"/>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1732">
    <w:name w:val="xl39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33">
    <w:name w:val="xl39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34">
    <w:name w:val="xl39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735">
    <w:name w:val="xl39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36">
    <w:name w:val="xl39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37">
    <w:name w:val="xl39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38">
    <w:name w:val="xl39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39">
    <w:name w:val="xl40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740">
    <w:name w:val="xl40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741">
    <w:name w:val="xl40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42">
    <w:name w:val="xl40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43">
    <w:name w:val="xl40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744">
    <w:name w:val="xl40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45">
    <w:name w:val="xl40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46">
    <w:name w:val="xl40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i/>
      <w:iCs/>
    </w:rPr>
  </w:style>
  <w:style w:type="paragraph" w:customStyle="1" w:styleId="1747">
    <w:name w:val="xl40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48">
    <w:name w:val="xl40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49">
    <w:name w:val="xl40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750">
    <w:name w:val="xl40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51">
    <w:name w:val="xl40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52">
    <w:name w:val="xl40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53">
    <w:name w:val="xl40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1754">
    <w:name w:val="xl40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55">
    <w:name w:val="xl40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56">
    <w:name w:val="xl40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757">
    <w:name w:val="xl40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58">
    <w:name w:val="xl40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59">
    <w:name w:val="xl40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60">
    <w:name w:val="xl40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61">
    <w:name w:val="xl40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62">
    <w:name w:val="xl40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63">
    <w:name w:val="xl40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64">
    <w:name w:val="xl40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65">
    <w:name w:val="xl40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66">
    <w:name w:val="xl40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FF0000"/>
    </w:rPr>
  </w:style>
  <w:style w:type="paragraph" w:customStyle="1" w:styleId="1767">
    <w:name w:val="xl40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1768">
    <w:name w:val="xl40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769">
    <w:name w:val="xl40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70">
    <w:name w:val="xl40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71">
    <w:name w:val="xl40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libri" w:hAnsi="Calibri" w:cs="Calibri"/>
    </w:rPr>
  </w:style>
  <w:style w:type="paragraph" w:customStyle="1" w:styleId="1772">
    <w:name w:val="xl40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73">
    <w:name w:val="xl40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774">
    <w:name w:val="xl40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75">
    <w:name w:val="xl40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76">
    <w:name w:val="xl40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777">
    <w:name w:val="xl40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778">
    <w:name w:val="xl40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779">
    <w:name w:val="xl40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80">
    <w:name w:val="xl40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81">
    <w:name w:val="xl40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82">
    <w:name w:val="xl40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83">
    <w:name w:val="xl40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84">
    <w:name w:val="xl40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85">
    <w:name w:val="xl40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786">
    <w:name w:val="xl40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87">
    <w:name w:val="xl40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788">
    <w:name w:val="xl40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89">
    <w:name w:val="xl40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790">
    <w:name w:val="xl40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791">
    <w:name w:val="xl40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792">
    <w:name w:val="xl40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793">
    <w:name w:val="xl40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794">
    <w:name w:val="xl40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795">
    <w:name w:val="xl40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796">
    <w:name w:val="xl40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797">
    <w:name w:val="xl40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1798">
    <w:name w:val="xl40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1799">
    <w:name w:val="xl40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800">
    <w:name w:val="xl4061"/>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801">
    <w:name w:val="xl4062"/>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style>
  <w:style w:type="paragraph" w:customStyle="1" w:styleId="1802">
    <w:name w:val="xl40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03">
    <w:name w:val="xl40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04">
    <w:name w:val="xl40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05">
    <w:name w:val="xl40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806">
    <w:name w:val="xl40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8"/>
      <w:szCs w:val="28"/>
    </w:rPr>
  </w:style>
  <w:style w:type="paragraph" w:customStyle="1" w:styleId="1807">
    <w:name w:val="xl40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8"/>
      <w:szCs w:val="28"/>
    </w:rPr>
  </w:style>
  <w:style w:type="paragraph" w:customStyle="1" w:styleId="1808">
    <w:name w:val="xl4069"/>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style>
  <w:style w:type="paragraph" w:customStyle="1" w:styleId="1809">
    <w:name w:val="xl4070"/>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center"/>
    </w:pPr>
  </w:style>
  <w:style w:type="paragraph" w:customStyle="1" w:styleId="1810">
    <w:name w:val="xl40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11">
    <w:name w:val="xl40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12">
    <w:name w:val="xl40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13">
    <w:name w:val="xl40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1814">
    <w:name w:val="xl40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15">
    <w:name w:val="xl40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16">
    <w:name w:val="xl40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17">
    <w:name w:val="xl40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18">
    <w:name w:val="xl40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19">
    <w:name w:val="xl40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20">
    <w:name w:val="xl40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821">
    <w:name w:val="xl40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22">
    <w:name w:val="xl40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23">
    <w:name w:val="xl40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24">
    <w:name w:val="xl40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25">
    <w:name w:val="xl40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826">
    <w:name w:val="xl40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27">
    <w:name w:val="xl4088"/>
    <w:basedOn w:val="1"/>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textAlignment w:val="center"/>
    </w:pPr>
  </w:style>
  <w:style w:type="paragraph" w:customStyle="1" w:styleId="1828">
    <w:name w:val="xl40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829">
    <w:name w:val="xl40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30">
    <w:name w:val="xl40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31">
    <w:name w:val="xl40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32">
    <w:name w:val="xl40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833">
    <w:name w:val="xl40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834">
    <w:name w:val="xl40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835">
    <w:name w:val="xl40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836">
    <w:name w:val="xl40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1837">
    <w:name w:val="xl40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rPr>
  </w:style>
  <w:style w:type="paragraph" w:customStyle="1" w:styleId="1838">
    <w:name w:val="xl40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8"/>
      <w:szCs w:val="28"/>
    </w:rPr>
  </w:style>
  <w:style w:type="paragraph" w:customStyle="1" w:styleId="1839">
    <w:name w:val="xl4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840">
    <w:name w:val="xl41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41">
    <w:name w:val="xl41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42">
    <w:name w:val="xl41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843">
    <w:name w:val="xl41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844">
    <w:name w:val="xl4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1845">
    <w:name w:val="xl10213"/>
    <w:basedOn w:val="1"/>
    <w:uiPriority w:val="0"/>
    <w:pPr>
      <w:spacing w:before="100" w:beforeAutospacing="1" w:after="100" w:afterAutospacing="1"/>
    </w:pPr>
    <w:rPr>
      <w:rFonts w:ascii="Arial" w:hAnsi="Arial" w:cs="Arial"/>
      <w:sz w:val="20"/>
      <w:szCs w:val="20"/>
    </w:rPr>
  </w:style>
  <w:style w:type="paragraph" w:customStyle="1" w:styleId="1846">
    <w:name w:val="xl10214"/>
    <w:basedOn w:val="1"/>
    <w:uiPriority w:val="0"/>
    <w:pPr>
      <w:spacing w:before="100" w:beforeAutospacing="1" w:after="100" w:afterAutospacing="1"/>
      <w:jc w:val="center"/>
    </w:pPr>
    <w:rPr>
      <w:rFonts w:ascii="Arial" w:hAnsi="Arial" w:cs="Arial"/>
      <w:sz w:val="20"/>
      <w:szCs w:val="20"/>
    </w:rPr>
  </w:style>
  <w:style w:type="paragraph" w:customStyle="1" w:styleId="1847">
    <w:name w:val="xl10215"/>
    <w:basedOn w:val="1"/>
    <w:uiPriority w:val="0"/>
    <w:pPr>
      <w:spacing w:before="100" w:beforeAutospacing="1" w:after="100" w:afterAutospacing="1"/>
    </w:pPr>
    <w:rPr>
      <w:rFonts w:ascii="Arial Narrow" w:hAnsi="Arial Narrow"/>
      <w:sz w:val="20"/>
      <w:szCs w:val="20"/>
    </w:rPr>
  </w:style>
  <w:style w:type="paragraph" w:customStyle="1" w:styleId="1848">
    <w:name w:val="xl10216"/>
    <w:basedOn w:val="1"/>
    <w:uiPriority w:val="0"/>
    <w:pPr>
      <w:spacing w:before="100" w:beforeAutospacing="1" w:after="100" w:afterAutospacing="1"/>
      <w:jc w:val="right"/>
    </w:pPr>
    <w:rPr>
      <w:rFonts w:ascii="Arial Narrow" w:hAnsi="Arial Narrow"/>
      <w:sz w:val="20"/>
      <w:szCs w:val="20"/>
    </w:rPr>
  </w:style>
  <w:style w:type="paragraph" w:customStyle="1" w:styleId="1849">
    <w:name w:val="xl10217"/>
    <w:basedOn w:val="1"/>
    <w:uiPriority w:val="0"/>
    <w:pPr>
      <w:spacing w:before="100" w:beforeAutospacing="1" w:after="100" w:afterAutospacing="1"/>
    </w:pPr>
    <w:rPr>
      <w:rFonts w:ascii="Arial" w:hAnsi="Arial" w:cs="Arial"/>
    </w:rPr>
  </w:style>
  <w:style w:type="paragraph" w:customStyle="1" w:styleId="1850">
    <w:name w:val="xl102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51">
    <w:name w:val="xl102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852">
    <w:name w:val="xl102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853">
    <w:name w:val="xl102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54">
    <w:name w:val="xl102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55">
    <w:name w:val="xl10223"/>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1856">
    <w:name w:val="xl1022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57">
    <w:name w:val="xl102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0"/>
      <w:szCs w:val="20"/>
    </w:rPr>
  </w:style>
  <w:style w:type="paragraph" w:customStyle="1" w:styleId="1858">
    <w:name w:val="xl102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0"/>
      <w:szCs w:val="20"/>
    </w:rPr>
  </w:style>
  <w:style w:type="paragraph" w:customStyle="1" w:styleId="1859">
    <w:name w:val="xl102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860">
    <w:name w:val="xl102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1861">
    <w:name w:val="xl102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862">
    <w:name w:val="xl102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863">
    <w:name w:val="xl102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64">
    <w:name w:val="xl102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865">
    <w:name w:val="xl102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66">
    <w:name w:val="xl102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67">
    <w:name w:val="xl102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68">
    <w:name w:val="xl102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69">
    <w:name w:val="xl102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0">
    <w:name w:val="xl102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1">
    <w:name w:val="xl102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2">
    <w:name w:val="xl102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3">
    <w:name w:val="xl102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4">
    <w:name w:val="xl10242"/>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1875">
    <w:name w:val="xl1024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76">
    <w:name w:val="xl10244"/>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7">
    <w:name w:val="xl10245"/>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878">
    <w:name w:val="xl10246"/>
    <w:basedOn w:val="1"/>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79">
    <w:name w:val="xl10247"/>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880">
    <w:name w:val="xl1024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1">
    <w:name w:val="xl1024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2">
    <w:name w:val="xl1025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3">
    <w:name w:val="xl1025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4">
    <w:name w:val="xl1025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5">
    <w:name w:val="xl1025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6">
    <w:name w:val="xl1025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7">
    <w:name w:val="xl10255"/>
    <w:basedOn w:val="1"/>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8">
    <w:name w:val="xl102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89">
    <w:name w:val="xl102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0">
    <w:name w:val="xl1025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1">
    <w:name w:val="xl10259"/>
    <w:basedOn w:val="1"/>
    <w:uiPriority w:val="0"/>
    <w:pPr>
      <w:pBdr>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892">
    <w:name w:val="xl10260"/>
    <w:basedOn w:val="1"/>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3">
    <w:name w:val="xl1026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4">
    <w:name w:val="xl102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5">
    <w:name w:val="xl1026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6">
    <w:name w:val="xl10264"/>
    <w:basedOn w:val="1"/>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7">
    <w:name w:val="xl1026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898">
    <w:name w:val="xl102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899">
    <w:name w:val="xl102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00">
    <w:name w:val="xl10268"/>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sz w:val="20"/>
      <w:szCs w:val="20"/>
    </w:rPr>
  </w:style>
  <w:style w:type="paragraph" w:customStyle="1" w:styleId="1901">
    <w:name w:val="xl10269"/>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18"/>
      <w:szCs w:val="18"/>
    </w:rPr>
  </w:style>
  <w:style w:type="paragraph" w:customStyle="1" w:styleId="1902">
    <w:name w:val="xl10270"/>
    <w:basedOn w:val="1"/>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1903">
    <w:name w:val="xl102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0"/>
      <w:szCs w:val="20"/>
    </w:rPr>
  </w:style>
  <w:style w:type="paragraph" w:customStyle="1" w:styleId="1904">
    <w:name w:val="xl102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05">
    <w:name w:val="xl102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06">
    <w:name w:val="xl102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07">
    <w:name w:val="xl102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08">
    <w:name w:val="xl10276"/>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0"/>
      <w:szCs w:val="20"/>
    </w:rPr>
  </w:style>
  <w:style w:type="paragraph" w:customStyle="1" w:styleId="1909">
    <w:name w:val="xl10277"/>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1910">
    <w:name w:val="xl10278"/>
    <w:basedOn w:val="1"/>
    <w:uiPriority w:val="0"/>
    <w:pPr>
      <w:pBdr>
        <w:top w:val="single" w:color="auto" w:sz="4" w:space="0"/>
        <w:bottom w:val="single" w:color="auto" w:sz="4" w:space="0"/>
      </w:pBdr>
      <w:spacing w:before="100" w:beforeAutospacing="1" w:after="100" w:afterAutospacing="1"/>
      <w:textAlignment w:val="center"/>
    </w:pPr>
  </w:style>
  <w:style w:type="paragraph" w:customStyle="1" w:styleId="1911">
    <w:name w:val="xl1027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color w:val="000000"/>
    </w:rPr>
  </w:style>
  <w:style w:type="paragraph" w:customStyle="1" w:styleId="1912">
    <w:name w:val="xl102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13">
    <w:name w:val="xl102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14">
    <w:name w:val="xl1028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15">
    <w:name w:val="xl10283"/>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16">
    <w:name w:val="xl10284"/>
    <w:basedOn w:val="1"/>
    <w:uiPriority w:val="0"/>
    <w:pPr>
      <w:pBdr>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917">
    <w:name w:val="xl10285"/>
    <w:basedOn w:val="1"/>
    <w:uiPriority w:val="0"/>
    <w:pPr>
      <w:pBdr>
        <w:top w:val="single" w:color="auto" w:sz="4" w:space="0"/>
        <w:left w:val="single" w:color="auto" w:sz="4" w:space="0"/>
        <w:right w:val="single" w:color="auto" w:sz="4" w:space="0"/>
      </w:pBdr>
      <w:spacing w:before="100" w:beforeAutospacing="1" w:after="100" w:afterAutospacing="1"/>
      <w:jc w:val="center"/>
    </w:pPr>
    <w:rPr>
      <w:sz w:val="20"/>
      <w:szCs w:val="20"/>
    </w:rPr>
  </w:style>
  <w:style w:type="paragraph" w:customStyle="1" w:styleId="1918">
    <w:name w:val="xl1028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19">
    <w:name w:val="xl10287"/>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1920">
    <w:name w:val="xl1028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21">
    <w:name w:val="xl1028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22">
    <w:name w:val="xl10290"/>
    <w:basedOn w:val="1"/>
    <w:uiPriority w:val="0"/>
    <w:pPr>
      <w:pBdr>
        <w:top w:val="single" w:color="auto" w:sz="4" w:space="0"/>
        <w:left w:val="single" w:color="auto" w:sz="4" w:space="0"/>
        <w:right w:val="single" w:color="auto" w:sz="4" w:space="0"/>
      </w:pBdr>
      <w:spacing w:before="100" w:beforeAutospacing="1" w:after="100" w:afterAutospacing="1"/>
      <w:jc w:val="center"/>
    </w:pPr>
    <w:rPr>
      <w:sz w:val="20"/>
      <w:szCs w:val="20"/>
    </w:rPr>
  </w:style>
  <w:style w:type="paragraph" w:customStyle="1" w:styleId="1923">
    <w:name w:val="xl10291"/>
    <w:basedOn w:val="1"/>
    <w:uiPriority w:val="0"/>
    <w:pPr>
      <w:pBdr>
        <w:top w:val="single" w:color="auto" w:sz="4" w:space="0"/>
        <w:left w:val="single" w:color="auto" w:sz="4" w:space="0"/>
        <w:right w:val="single" w:color="auto" w:sz="4" w:space="0"/>
      </w:pBdr>
      <w:spacing w:before="100" w:beforeAutospacing="1" w:after="100" w:afterAutospacing="1"/>
      <w:jc w:val="center"/>
    </w:pPr>
    <w:rPr>
      <w:sz w:val="20"/>
      <w:szCs w:val="20"/>
    </w:rPr>
  </w:style>
  <w:style w:type="paragraph" w:customStyle="1" w:styleId="1924">
    <w:name w:val="xl102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925">
    <w:name w:val="xl102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926">
    <w:name w:val="xl102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27">
    <w:name w:val="xl102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928">
    <w:name w:val="xl102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szCs w:val="20"/>
    </w:rPr>
  </w:style>
  <w:style w:type="paragraph" w:customStyle="1" w:styleId="1929">
    <w:name w:val="xl102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0">
    <w:name w:val="xl102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1">
    <w:name w:val="xl1029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2">
    <w:name w:val="xl10300"/>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1933">
    <w:name w:val="xl1030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34">
    <w:name w:val="xl103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5">
    <w:name w:val="xl1030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6">
    <w:name w:val="xl10304"/>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1937">
    <w:name w:val="xl1030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38">
    <w:name w:val="xl10306"/>
    <w:basedOn w:val="1"/>
    <w:uiPriority w:val="0"/>
    <w:pPr>
      <w:pBdr>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39">
    <w:name w:val="xl10307"/>
    <w:basedOn w:val="1"/>
    <w:uiPriority w:val="0"/>
    <w:pPr>
      <w:pBdr>
        <w:left w:val="single" w:color="auto" w:sz="4" w:space="0"/>
        <w:bottom w:val="single" w:color="auto" w:sz="4" w:space="0"/>
        <w:right w:val="single" w:color="auto" w:sz="4" w:space="0"/>
      </w:pBdr>
      <w:spacing w:before="100" w:beforeAutospacing="1" w:after="100" w:afterAutospacing="1"/>
    </w:pPr>
  </w:style>
  <w:style w:type="paragraph" w:customStyle="1" w:styleId="1940">
    <w:name w:val="xl1030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41">
    <w:name w:val="xl1030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42">
    <w:name w:val="xl10310"/>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rPr>
  </w:style>
  <w:style w:type="paragraph" w:customStyle="1" w:styleId="1943">
    <w:name w:val="xl10311"/>
    <w:basedOn w:val="1"/>
    <w:uiPriority w:val="0"/>
    <w:pPr>
      <w:spacing w:before="100" w:beforeAutospacing="1" w:after="100" w:afterAutospacing="1"/>
      <w:jc w:val="center"/>
      <w:textAlignment w:val="center"/>
    </w:pPr>
    <w:rPr>
      <w:sz w:val="20"/>
      <w:szCs w:val="20"/>
    </w:rPr>
  </w:style>
  <w:style w:type="paragraph" w:customStyle="1" w:styleId="1944">
    <w:name w:val="xl10312"/>
    <w:basedOn w:val="1"/>
    <w:uiPriority w:val="0"/>
    <w:pPr>
      <w:spacing w:before="100" w:beforeAutospacing="1" w:after="100" w:afterAutospacing="1"/>
    </w:pPr>
    <w:rPr>
      <w:sz w:val="20"/>
      <w:szCs w:val="20"/>
    </w:rPr>
  </w:style>
  <w:style w:type="paragraph" w:customStyle="1" w:styleId="1945">
    <w:name w:val="xl10313"/>
    <w:basedOn w:val="1"/>
    <w:uiPriority w:val="0"/>
    <w:pPr>
      <w:spacing w:before="100" w:beforeAutospacing="1" w:after="100" w:afterAutospacing="1"/>
      <w:jc w:val="center"/>
      <w:textAlignment w:val="center"/>
    </w:pPr>
    <w:rPr>
      <w:sz w:val="20"/>
      <w:szCs w:val="20"/>
    </w:rPr>
  </w:style>
  <w:style w:type="paragraph" w:customStyle="1" w:styleId="1946">
    <w:name w:val="xl103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947">
    <w:name w:val="xl10315"/>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rPr>
  </w:style>
  <w:style w:type="paragraph" w:customStyle="1" w:styleId="1948">
    <w:name w:val="xl103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0"/>
      <w:szCs w:val="20"/>
    </w:rPr>
  </w:style>
  <w:style w:type="paragraph" w:customStyle="1" w:styleId="1949">
    <w:name w:val="xl103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20"/>
      <w:szCs w:val="20"/>
    </w:rPr>
  </w:style>
  <w:style w:type="paragraph" w:customStyle="1" w:styleId="1950">
    <w:name w:val="xl103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1951">
    <w:name w:val="xl103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952">
    <w:name w:val="xl103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53">
    <w:name w:val="xl103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54">
    <w:name w:val="xl103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1955">
    <w:name w:val="xl103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56">
    <w:name w:val="xl103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57">
    <w:name w:val="xl103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958">
    <w:name w:val="xl1032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59">
    <w:name w:val="xl1032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60">
    <w:name w:val="xl1032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961">
    <w:name w:val="xl10329"/>
    <w:basedOn w:val="1"/>
    <w:uiPriority w:val="0"/>
    <w:pPr>
      <w:pBdr>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962">
    <w:name w:val="xl103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1963">
    <w:name w:val="xl103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64">
    <w:name w:val="xl103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965">
    <w:name w:val="xl103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1966">
    <w:name w:val="xl1033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67">
    <w:name w:val="xl103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968">
    <w:name w:val="xl10336"/>
    <w:basedOn w:val="1"/>
    <w:uiPriority w:val="0"/>
    <w:pPr>
      <w:pBdr>
        <w:top w:val="single" w:color="auto" w:sz="4" w:space="0"/>
        <w:left w:val="single" w:color="auto" w:sz="4" w:space="0"/>
        <w:bottom w:val="single" w:color="auto" w:sz="4" w:space="0"/>
        <w:right w:val="single" w:color="auto" w:sz="4" w:space="0"/>
      </w:pBdr>
      <w:shd w:val="clear" w:color="000000" w:fill="F2DCDB"/>
      <w:spacing w:before="100" w:beforeAutospacing="1" w:after="100" w:afterAutospacing="1"/>
      <w:jc w:val="center"/>
      <w:textAlignment w:val="center"/>
    </w:pPr>
    <w:rPr>
      <w:b/>
      <w:bCs/>
      <w:color w:val="000000"/>
    </w:rPr>
  </w:style>
  <w:style w:type="paragraph" w:customStyle="1" w:styleId="1969">
    <w:name w:val="xl103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970">
    <w:name w:val="xl1033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71">
    <w:name w:val="xl1033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72">
    <w:name w:val="xl1034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73">
    <w:name w:val="xl10341"/>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1974">
    <w:name w:val="xl10342"/>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1975">
    <w:name w:val="xl10343"/>
    <w:basedOn w:val="1"/>
    <w:uiPriority w:val="0"/>
    <w:pPr>
      <w:pBdr>
        <w:top w:val="single" w:color="auto" w:sz="4" w:space="0"/>
        <w:left w:val="single" w:color="auto" w:sz="4" w:space="0"/>
        <w:right w:val="single" w:color="auto" w:sz="4" w:space="0"/>
      </w:pBdr>
      <w:spacing w:before="100" w:beforeAutospacing="1" w:after="100" w:afterAutospacing="1"/>
      <w:textAlignment w:val="center"/>
    </w:pPr>
  </w:style>
  <w:style w:type="paragraph" w:customStyle="1" w:styleId="1976">
    <w:name w:val="xl10344"/>
    <w:basedOn w:val="1"/>
    <w:uiPriority w:val="0"/>
    <w:pPr>
      <w:pBdr>
        <w:top w:val="single" w:color="auto" w:sz="4" w:space="0"/>
        <w:left w:val="single" w:color="auto" w:sz="4" w:space="0"/>
        <w:right w:val="single" w:color="auto" w:sz="4" w:space="0"/>
      </w:pBdr>
      <w:spacing w:before="100" w:beforeAutospacing="1" w:after="100" w:afterAutospacing="1"/>
    </w:pPr>
  </w:style>
  <w:style w:type="paragraph" w:customStyle="1" w:styleId="1977">
    <w:name w:val="xl1034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78">
    <w:name w:val="xl1034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79">
    <w:name w:val="xl1034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0">
    <w:name w:val="xl1034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1">
    <w:name w:val="xl1034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2">
    <w:name w:val="xl1035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3">
    <w:name w:val="xl1035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4">
    <w:name w:val="xl1035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5">
    <w:name w:val="xl1035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6">
    <w:name w:val="xl10354"/>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7">
    <w:name w:val="xl1035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8">
    <w:name w:val="xl1035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1989">
    <w:name w:val="xl10357"/>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990">
    <w:name w:val="xl10358"/>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991">
    <w:name w:val="xl1035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2">
    <w:name w:val="xl1036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3">
    <w:name w:val="xl1036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4">
    <w:name w:val="xl1036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5">
    <w:name w:val="xl1036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6">
    <w:name w:val="xl1036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7">
    <w:name w:val="xl1036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8">
    <w:name w:val="xl1036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1999">
    <w:name w:val="xl1036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0">
    <w:name w:val="xl1036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1">
    <w:name w:val="xl1036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2">
    <w:name w:val="xl1037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3">
    <w:name w:val="xl1037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4">
    <w:name w:val="xl1037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5">
    <w:name w:val="xl1037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6">
    <w:name w:val="xl1037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7">
    <w:name w:val="xl1037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8">
    <w:name w:val="xl1037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09">
    <w:name w:val="xl1037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0">
    <w:name w:val="xl1037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1">
    <w:name w:val="xl1037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2">
    <w:name w:val="xl103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3">
    <w:name w:val="xl103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014">
    <w:name w:val="xl103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5">
    <w:name w:val="xl103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016">
    <w:name w:val="xl103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17">
    <w:name w:val="xl103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018">
    <w:name w:val="xl103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32"/>
      <w:szCs w:val="32"/>
    </w:rPr>
  </w:style>
  <w:style w:type="paragraph" w:customStyle="1" w:styleId="2019">
    <w:name w:val="xl10387"/>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2020">
    <w:name w:val="xl10388"/>
    <w:basedOn w:val="1"/>
    <w:uiPriority w:val="0"/>
    <w:pPr>
      <w:pBdr>
        <w:top w:val="single" w:color="auto" w:sz="4" w:space="0"/>
        <w:bottom w:val="single" w:color="auto" w:sz="4" w:space="0"/>
      </w:pBdr>
      <w:spacing w:before="100" w:beforeAutospacing="1" w:after="100" w:afterAutospacing="1"/>
      <w:textAlignment w:val="center"/>
    </w:pPr>
  </w:style>
  <w:style w:type="paragraph" w:customStyle="1" w:styleId="2021">
    <w:name w:val="xl10389"/>
    <w:basedOn w:val="1"/>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22">
    <w:name w:val="xl194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023">
    <w:name w:val="xl194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24">
    <w:name w:val="xl194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25">
    <w:name w:val="xl194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26">
    <w:name w:val="xl194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027">
    <w:name w:val="xl194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28">
    <w:name w:val="xl194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29">
    <w:name w:val="xl194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0">
    <w:name w:val="xl194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1">
    <w:name w:val="xl194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2">
    <w:name w:val="xl194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3">
    <w:name w:val="xl194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4">
    <w:name w:val="xl194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35">
    <w:name w:val="xl194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36">
    <w:name w:val="xl194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37">
    <w:name w:val="xl194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038">
    <w:name w:val="xl194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39">
    <w:name w:val="xl194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40">
    <w:name w:val="xl194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41">
    <w:name w:val="xl194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42">
    <w:name w:val="xl194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043">
    <w:name w:val="xl194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44">
    <w:name w:val="xl194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45">
    <w:name w:val="xl19423"/>
    <w:basedOn w:val="1"/>
    <w:uiPriority w:val="0"/>
    <w:pPr>
      <w:spacing w:before="100" w:beforeAutospacing="1" w:after="100" w:afterAutospacing="1"/>
    </w:pPr>
  </w:style>
  <w:style w:type="paragraph" w:customStyle="1" w:styleId="2046">
    <w:name w:val="xl19424"/>
    <w:basedOn w:val="1"/>
    <w:uiPriority w:val="0"/>
    <w:pPr>
      <w:spacing w:before="100" w:beforeAutospacing="1" w:after="100" w:afterAutospacing="1"/>
    </w:pPr>
  </w:style>
  <w:style w:type="paragraph" w:customStyle="1" w:styleId="2047">
    <w:name w:val="xl194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2048">
    <w:name w:val="xl194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049">
    <w:name w:val="xl194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050">
    <w:name w:val="xl194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rPr>
  </w:style>
  <w:style w:type="paragraph" w:customStyle="1" w:styleId="2051">
    <w:name w:val="xl194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2052">
    <w:name w:val="xl194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53">
    <w:name w:val="xl194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54">
    <w:name w:val="xl194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055">
    <w:name w:val="xl194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56">
    <w:name w:val="xl194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57">
    <w:name w:val="xl194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58">
    <w:name w:val="xl194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059">
    <w:name w:val="xl194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060">
    <w:name w:val="xl19438"/>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2061">
    <w:name w:val="xl194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62">
    <w:name w:val="xl1944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2063">
    <w:name w:val="xl194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064">
    <w:name w:val="xl194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065">
    <w:name w:val="xl194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66">
    <w:name w:val="xl194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067">
    <w:name w:val="xl194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2068">
    <w:name w:val="xl194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69">
    <w:name w:val="xl194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70">
    <w:name w:val="xl194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071">
    <w:name w:val="xl194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072">
    <w:name w:val="xl194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73">
    <w:name w:val="xl1945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074">
    <w:name w:val="xl194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75">
    <w:name w:val="xl194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76">
    <w:name w:val="xl194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77">
    <w:name w:val="xl194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078">
    <w:name w:val="xl194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79">
    <w:name w:val="xl194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080">
    <w:name w:val="xl194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81">
    <w:name w:val="xl194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2082">
    <w:name w:val="xl194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083">
    <w:name w:val="xl194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84">
    <w:name w:val="xl194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085">
    <w:name w:val="xl194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086">
    <w:name w:val="xl194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87">
    <w:name w:val="xl194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88">
    <w:name w:val="xl194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89">
    <w:name w:val="xl194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0">
    <w:name w:val="xl194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1">
    <w:name w:val="xl194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2">
    <w:name w:val="xl194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3">
    <w:name w:val="xl194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4">
    <w:name w:val="xl194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5">
    <w:name w:val="xl194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6">
    <w:name w:val="xl194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2097">
    <w:name w:val="xl194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2098">
    <w:name w:val="xl194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099">
    <w:name w:val="xl194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0">
    <w:name w:val="xl194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1">
    <w:name w:val="xl194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2">
    <w:name w:val="xl194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2103">
    <w:name w:val="xl194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4">
    <w:name w:val="xl194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5">
    <w:name w:val="xl19483"/>
    <w:basedOn w:val="1"/>
    <w:uiPriority w:val="0"/>
    <w:pPr>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textAlignment w:val="center"/>
    </w:pPr>
  </w:style>
  <w:style w:type="paragraph" w:customStyle="1" w:styleId="2106">
    <w:name w:val="xl194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2107">
    <w:name w:val="xl1948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08">
    <w:name w:val="xl1948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09">
    <w:name w:val="xl194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10">
    <w:name w:val="xl194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111">
    <w:name w:val="xl194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12">
    <w:name w:val="xl194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13">
    <w:name w:val="xl194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114">
    <w:name w:val="xl1949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115">
    <w:name w:val="xl194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16">
    <w:name w:val="xl194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117">
    <w:name w:val="xl194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118">
    <w:name w:val="xl194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19">
    <w:name w:val="xl194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120">
    <w:name w:val="xl194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21">
    <w:name w:val="xl194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22">
    <w:name w:val="xl19500"/>
    <w:basedOn w:val="1"/>
    <w:uiPriority w:val="0"/>
    <w:pPr>
      <w:spacing w:before="100" w:beforeAutospacing="1" w:after="100" w:afterAutospacing="1"/>
      <w:jc w:val="center"/>
      <w:textAlignment w:val="center"/>
    </w:pPr>
  </w:style>
  <w:style w:type="paragraph" w:customStyle="1" w:styleId="2123">
    <w:name w:val="xl195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24">
    <w:name w:val="xl195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25">
    <w:name w:val="xl195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26">
    <w:name w:val="xl195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27">
    <w:name w:val="xl195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2128">
    <w:name w:val="xl195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29">
    <w:name w:val="xl195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130">
    <w:name w:val="xl195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131">
    <w:name w:val="xl195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132">
    <w:name w:val="xl1951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33">
    <w:name w:val="xl1951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34">
    <w:name w:val="xl1951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135">
    <w:name w:val="xl19513"/>
    <w:basedOn w:val="1"/>
    <w:uiPriority w:val="0"/>
    <w:pPr>
      <w:pBdr>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136">
    <w:name w:val="xl195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137">
    <w:name w:val="xl195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38">
    <w:name w:val="xl195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139">
    <w:name w:val="xl195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140">
    <w:name w:val="xl1951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41">
    <w:name w:val="xl195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142">
    <w:name w:val="xl19520"/>
    <w:basedOn w:val="1"/>
    <w:uiPriority w:val="0"/>
    <w:pPr>
      <w:pBdr>
        <w:top w:val="single" w:color="auto" w:sz="4" w:space="0"/>
        <w:left w:val="single" w:color="auto" w:sz="4" w:space="0"/>
        <w:bottom w:val="single" w:color="auto" w:sz="4" w:space="0"/>
        <w:right w:val="single" w:color="auto" w:sz="4" w:space="0"/>
      </w:pBdr>
      <w:shd w:val="clear" w:color="000000" w:fill="F2DCDB"/>
      <w:spacing w:before="100" w:beforeAutospacing="1" w:after="100" w:afterAutospacing="1"/>
      <w:jc w:val="center"/>
      <w:textAlignment w:val="center"/>
    </w:pPr>
    <w:rPr>
      <w:b/>
      <w:bCs/>
      <w:color w:val="000000"/>
    </w:rPr>
  </w:style>
  <w:style w:type="paragraph" w:customStyle="1" w:styleId="2143">
    <w:name w:val="xl195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144">
    <w:name w:val="xl1952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45">
    <w:name w:val="xl1952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46">
    <w:name w:val="xl19524"/>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47">
    <w:name w:val="xl19525"/>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2148">
    <w:name w:val="xl19526"/>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2149">
    <w:name w:val="xl19527"/>
    <w:basedOn w:val="1"/>
    <w:uiPriority w:val="0"/>
    <w:pPr>
      <w:pBdr>
        <w:top w:val="single" w:color="auto" w:sz="4" w:space="0"/>
        <w:left w:val="single" w:color="auto" w:sz="4" w:space="0"/>
        <w:right w:val="single" w:color="auto" w:sz="4" w:space="0"/>
      </w:pBdr>
      <w:spacing w:before="100" w:beforeAutospacing="1" w:after="100" w:afterAutospacing="1"/>
      <w:textAlignment w:val="center"/>
    </w:pPr>
  </w:style>
  <w:style w:type="paragraph" w:customStyle="1" w:styleId="2150">
    <w:name w:val="xl19528"/>
    <w:basedOn w:val="1"/>
    <w:uiPriority w:val="0"/>
    <w:pPr>
      <w:pBdr>
        <w:top w:val="single" w:color="auto" w:sz="4" w:space="0"/>
        <w:left w:val="single" w:color="auto" w:sz="4" w:space="0"/>
        <w:right w:val="single" w:color="auto" w:sz="4" w:space="0"/>
      </w:pBdr>
      <w:spacing w:before="100" w:beforeAutospacing="1" w:after="100" w:afterAutospacing="1"/>
    </w:pPr>
  </w:style>
  <w:style w:type="paragraph" w:customStyle="1" w:styleId="2151">
    <w:name w:val="xl1952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2">
    <w:name w:val="xl1953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3">
    <w:name w:val="xl1953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4">
    <w:name w:val="xl1953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5">
    <w:name w:val="xl195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6">
    <w:name w:val="xl19534"/>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7">
    <w:name w:val="xl1953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8">
    <w:name w:val="xl1953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59">
    <w:name w:val="xl1953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60">
    <w:name w:val="xl1953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61">
    <w:name w:val="xl1953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62">
    <w:name w:val="xl1954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163">
    <w:name w:val="xl19541"/>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164">
    <w:name w:val="xl19542"/>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165">
    <w:name w:val="xl1954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66">
    <w:name w:val="xl1954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67">
    <w:name w:val="xl1954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68">
    <w:name w:val="xl1954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69">
    <w:name w:val="xl1954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0">
    <w:name w:val="xl1954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1">
    <w:name w:val="xl1954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2">
    <w:name w:val="xl1955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3">
    <w:name w:val="xl1955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4">
    <w:name w:val="xl1955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5">
    <w:name w:val="xl1955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6">
    <w:name w:val="xl1955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7">
    <w:name w:val="xl1955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8">
    <w:name w:val="xl1955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79">
    <w:name w:val="xl1955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0">
    <w:name w:val="xl1955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1">
    <w:name w:val="xl1955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2">
    <w:name w:val="xl1956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3">
    <w:name w:val="xl1956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4">
    <w:name w:val="xl1956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5">
    <w:name w:val="xl1956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6">
    <w:name w:val="xl195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7">
    <w:name w:val="xl195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88">
    <w:name w:val="xl195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189">
    <w:name w:val="xl195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32"/>
      <w:szCs w:val="32"/>
    </w:rPr>
  </w:style>
  <w:style w:type="paragraph" w:customStyle="1" w:styleId="2190">
    <w:name w:val="xl19568"/>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2191">
    <w:name w:val="xl19569"/>
    <w:basedOn w:val="1"/>
    <w:uiPriority w:val="0"/>
    <w:pPr>
      <w:pBdr>
        <w:top w:val="single" w:color="auto" w:sz="4" w:space="0"/>
        <w:bottom w:val="single" w:color="auto" w:sz="4" w:space="0"/>
      </w:pBdr>
      <w:spacing w:before="100" w:beforeAutospacing="1" w:after="100" w:afterAutospacing="1"/>
      <w:textAlignment w:val="center"/>
    </w:pPr>
  </w:style>
  <w:style w:type="paragraph" w:customStyle="1" w:styleId="2192">
    <w:name w:val="xl19570"/>
    <w:basedOn w:val="1"/>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193">
    <w:name w:val="xl195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194">
    <w:name w:val="xl195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195">
    <w:name w:val="xl195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96">
    <w:name w:val="xl195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197">
    <w:name w:val="xl195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198">
    <w:name w:val="xl195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199">
    <w:name w:val="Обычный + По ширине"/>
    <w:basedOn w:val="1"/>
    <w:link w:val="2200"/>
    <w:uiPriority w:val="0"/>
    <w:pPr>
      <w:ind w:firstLine="709"/>
      <w:jc w:val="both"/>
    </w:pPr>
    <w:rPr>
      <w:lang w:eastAsia="en-US"/>
    </w:rPr>
  </w:style>
  <w:style w:type="character" w:customStyle="1" w:styleId="2200">
    <w:name w:val="Обычный + По ширине Знак"/>
    <w:link w:val="2199"/>
    <w:uiPriority w:val="0"/>
    <w:rPr>
      <w:rFonts w:ascii="Times New Roman" w:hAnsi="Times New Roman" w:eastAsia="Times New Roman"/>
      <w:sz w:val="24"/>
      <w:szCs w:val="24"/>
      <w:lang w:eastAsia="en-US"/>
    </w:rPr>
  </w:style>
  <w:style w:type="paragraph" w:customStyle="1" w:styleId="2201">
    <w:name w:val="xl193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02">
    <w:name w:val="xl1957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203">
    <w:name w:val="xl1957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204">
    <w:name w:val="xl286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2205">
    <w:name w:val="xl28605"/>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customStyle="1" w:styleId="2206">
    <w:name w:val="xl286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07">
    <w:name w:val="xl286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08">
    <w:name w:val="xl286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09">
    <w:name w:val="xl286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CYR" w:hAnsi="Arial CYR" w:cs="Arial CYR"/>
      <w:sz w:val="20"/>
      <w:szCs w:val="20"/>
    </w:rPr>
  </w:style>
  <w:style w:type="paragraph" w:customStyle="1" w:styleId="2210">
    <w:name w:val="xl286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211">
    <w:name w:val="xl286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12">
    <w:name w:val="xl286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13">
    <w:name w:val="xl286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14">
    <w:name w:val="xl286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15">
    <w:name w:val="xl2861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216">
    <w:name w:val="xl2861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17">
    <w:name w:val="xl286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18">
    <w:name w:val="xl286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19">
    <w:name w:val="xl286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20">
    <w:name w:val="xl286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21">
    <w:name w:val="xl286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22">
    <w:name w:val="xl286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223">
    <w:name w:val="xl286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24">
    <w:name w:val="xl286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225">
    <w:name w:val="xl286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26">
    <w:name w:val="xl286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27">
    <w:name w:val="xl286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28">
    <w:name w:val="xl286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229">
    <w:name w:val="xl2862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30">
    <w:name w:val="xl286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31">
    <w:name w:val="xl2863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32">
    <w:name w:val="xl286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b/>
      <w:bCs/>
    </w:rPr>
  </w:style>
  <w:style w:type="paragraph" w:customStyle="1" w:styleId="2233">
    <w:name w:val="xl2863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Calibri"/>
      <w:b/>
      <w:bCs/>
    </w:rPr>
  </w:style>
  <w:style w:type="paragraph" w:customStyle="1" w:styleId="2234">
    <w:name w:val="xl2863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35">
    <w:name w:val="xl286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236">
    <w:name w:val="xl286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37">
    <w:name w:val="xl286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38">
    <w:name w:val="xl2863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239">
    <w:name w:val="xl286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40">
    <w:name w:val="xl28640"/>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rPr>
  </w:style>
  <w:style w:type="paragraph" w:customStyle="1" w:styleId="2241">
    <w:name w:val="xl286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242">
    <w:name w:val="xl286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243">
    <w:name w:val="xl28643"/>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44">
    <w:name w:val="xl2864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45">
    <w:name w:val="xl286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46">
    <w:name w:val="xl286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247">
    <w:name w:val="xl286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248">
    <w:name w:val="xl286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49">
    <w:name w:val="xl286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50">
    <w:name w:val="xl286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8"/>
      <w:szCs w:val="28"/>
    </w:rPr>
  </w:style>
  <w:style w:type="paragraph" w:customStyle="1" w:styleId="2251">
    <w:name w:val="xl28651"/>
    <w:basedOn w:val="1"/>
    <w:uiPriority w:val="0"/>
    <w:pPr>
      <w:pBdr>
        <w:top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252">
    <w:name w:val="xl28652"/>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2253">
    <w:name w:val="xl28653"/>
    <w:basedOn w:val="1"/>
    <w:uiPriority w:val="0"/>
    <w:pPr>
      <w:pBdr>
        <w:top w:val="single" w:color="auto" w:sz="4" w:space="0"/>
        <w:bottom w:val="single" w:color="auto" w:sz="4" w:space="0"/>
      </w:pBdr>
      <w:spacing w:before="100" w:beforeAutospacing="1" w:after="100" w:afterAutospacing="1"/>
    </w:pPr>
  </w:style>
  <w:style w:type="paragraph" w:customStyle="1" w:styleId="2254">
    <w:name w:val="xl28654"/>
    <w:basedOn w:val="1"/>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2255">
    <w:name w:val="xl28655"/>
    <w:basedOn w:val="1"/>
    <w:uiPriority w:val="0"/>
    <w:pPr>
      <w:pBdr>
        <w:top w:val="single" w:color="auto" w:sz="4" w:space="0"/>
        <w:left w:val="single" w:color="auto" w:sz="4" w:space="0"/>
        <w:right w:val="single" w:color="auto" w:sz="4" w:space="0"/>
      </w:pBdr>
      <w:spacing w:before="100" w:beforeAutospacing="1" w:after="100" w:afterAutospacing="1"/>
      <w:textAlignment w:val="center"/>
    </w:pPr>
  </w:style>
  <w:style w:type="paragraph" w:customStyle="1" w:styleId="2256">
    <w:name w:val="xl28656"/>
    <w:basedOn w:val="1"/>
    <w:uiPriority w:val="0"/>
    <w:pPr>
      <w:pBdr>
        <w:left w:val="single" w:color="auto" w:sz="4" w:space="0"/>
        <w:right w:val="single" w:color="auto" w:sz="4" w:space="0"/>
      </w:pBdr>
      <w:spacing w:before="100" w:beforeAutospacing="1" w:after="100" w:afterAutospacing="1"/>
      <w:textAlignment w:val="center"/>
    </w:pPr>
  </w:style>
  <w:style w:type="paragraph" w:customStyle="1" w:styleId="2257">
    <w:name w:val="xl28657"/>
    <w:basedOn w:val="1"/>
    <w:uiPriority w:val="0"/>
    <w:pPr>
      <w:pBdr>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58">
    <w:name w:val="xl2865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59">
    <w:name w:val="xl2865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60">
    <w:name w:val="xl28660"/>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61">
    <w:name w:val="xl2866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62">
    <w:name w:val="xl2866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63">
    <w:name w:val="xl28663"/>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64">
    <w:name w:val="xl2866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65">
    <w:name w:val="xl2866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66">
    <w:name w:val="xl28666"/>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67">
    <w:name w:val="xl2866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68">
    <w:name w:val="xl28668"/>
    <w:basedOn w:val="1"/>
    <w:uiPriority w:val="0"/>
    <w:pPr>
      <w:pBdr>
        <w:left w:val="single" w:color="auto" w:sz="4" w:space="0"/>
        <w:right w:val="single" w:color="auto" w:sz="4" w:space="0"/>
      </w:pBdr>
      <w:spacing w:before="100" w:beforeAutospacing="1" w:after="100" w:afterAutospacing="1"/>
    </w:pPr>
  </w:style>
  <w:style w:type="paragraph" w:customStyle="1" w:styleId="2269">
    <w:name w:val="xl28669"/>
    <w:basedOn w:val="1"/>
    <w:uiPriority w:val="0"/>
    <w:pPr>
      <w:pBdr>
        <w:left w:val="single" w:color="auto" w:sz="4" w:space="0"/>
        <w:bottom w:val="single" w:color="auto" w:sz="4" w:space="0"/>
        <w:right w:val="single" w:color="auto" w:sz="4" w:space="0"/>
      </w:pBdr>
      <w:spacing w:before="100" w:beforeAutospacing="1" w:after="100" w:afterAutospacing="1"/>
    </w:pPr>
  </w:style>
  <w:style w:type="paragraph" w:customStyle="1" w:styleId="2270">
    <w:name w:val="xl2867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71">
    <w:name w:val="xl28671"/>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72">
    <w:name w:val="xl2867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3">
    <w:name w:val="xl28673"/>
    <w:basedOn w:val="1"/>
    <w:uiPriority w:val="0"/>
    <w:pPr>
      <w:pBdr>
        <w:left w:val="single" w:color="auto" w:sz="4" w:space="0"/>
        <w:right w:val="single" w:color="auto" w:sz="4" w:space="0"/>
      </w:pBdr>
      <w:spacing w:before="100" w:beforeAutospacing="1" w:after="100" w:afterAutospacing="1"/>
      <w:jc w:val="center"/>
      <w:textAlignment w:val="center"/>
    </w:pPr>
  </w:style>
  <w:style w:type="paragraph" w:customStyle="1" w:styleId="2274">
    <w:name w:val="xl2867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5">
    <w:name w:val="xl286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6">
    <w:name w:val="xl286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7">
    <w:name w:val="xl286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8">
    <w:name w:val="xl286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79">
    <w:name w:val="xl286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0">
    <w:name w:val="xl286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1">
    <w:name w:val="xl286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82">
    <w:name w:val="xl286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283">
    <w:name w:val="xl286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4">
    <w:name w:val="xl286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5">
    <w:name w:val="xl286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6">
    <w:name w:val="xl286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2287">
    <w:name w:val="xl286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8">
    <w:name w:val="xl286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89">
    <w:name w:val="xl28689"/>
    <w:basedOn w:val="1"/>
    <w:uiPriority w:val="0"/>
    <w:pPr>
      <w:pBdr>
        <w:top w:val="single" w:color="auto" w:sz="4" w:space="0"/>
        <w:left w:val="single" w:color="auto" w:sz="4" w:space="0"/>
        <w:bottom w:val="single" w:color="auto" w:sz="4" w:space="0"/>
        <w:right w:val="single" w:color="auto" w:sz="4" w:space="0"/>
      </w:pBdr>
      <w:shd w:val="clear" w:color="000000" w:fill="00FF00"/>
      <w:spacing w:before="100" w:beforeAutospacing="1" w:after="100" w:afterAutospacing="1"/>
      <w:textAlignment w:val="center"/>
    </w:pPr>
  </w:style>
  <w:style w:type="paragraph" w:customStyle="1" w:styleId="2290">
    <w:name w:val="xl286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2291">
    <w:name w:val="xl2869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292">
    <w:name w:val="xl2869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93">
    <w:name w:val="xl286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294">
    <w:name w:val="xl286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2295">
    <w:name w:val="xl286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96">
    <w:name w:val="xl286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297">
    <w:name w:val="xl286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298">
    <w:name w:val="xl286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299">
    <w:name w:val="xl286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00">
    <w:name w:val="xl287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rPr>
  </w:style>
  <w:style w:type="paragraph" w:customStyle="1" w:styleId="2301">
    <w:name w:val="xl287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302">
    <w:name w:val="xl2870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03">
    <w:name w:val="xl2870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304">
    <w:name w:val="xl2870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05">
    <w:name w:val="xl287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06">
    <w:name w:val="xl28706"/>
    <w:basedOn w:val="1"/>
    <w:uiPriority w:val="0"/>
    <w:pPr>
      <w:spacing w:before="100" w:beforeAutospacing="1" w:after="100" w:afterAutospacing="1"/>
      <w:jc w:val="center"/>
      <w:textAlignment w:val="center"/>
    </w:pPr>
  </w:style>
  <w:style w:type="paragraph" w:customStyle="1" w:styleId="2307">
    <w:name w:val="xl287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08">
    <w:name w:val="xl287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09">
    <w:name w:val="xl287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10">
    <w:name w:val="xl287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rPr>
  </w:style>
  <w:style w:type="paragraph" w:customStyle="1" w:styleId="2311">
    <w:name w:val="xl2871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12">
    <w:name w:val="xl287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rPr>
  </w:style>
  <w:style w:type="paragraph" w:customStyle="1" w:styleId="2313">
    <w:name w:val="xl287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314">
    <w:name w:val="xl287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rPr>
  </w:style>
  <w:style w:type="paragraph" w:customStyle="1" w:styleId="2315">
    <w:name w:val="xl2871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16">
    <w:name w:val="xl2871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17">
    <w:name w:val="xl2871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2318">
    <w:name w:val="xl28718"/>
    <w:basedOn w:val="1"/>
    <w:uiPriority w:val="0"/>
    <w:pPr>
      <w:pBdr>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319">
    <w:name w:val="xl287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320">
    <w:name w:val="xl287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21">
    <w:name w:val="xl287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322">
    <w:name w:val="xl2872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23">
    <w:name w:val="xl2872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2324">
    <w:name w:val="xl2872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325">
    <w:name w:val="xl2872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26">
    <w:name w:val="xl2872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27">
    <w:name w:val="xl2872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28">
    <w:name w:val="xl28728"/>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2329">
    <w:name w:val="xl28729"/>
    <w:basedOn w:val="1"/>
    <w:uiPriority w:val="0"/>
    <w:pPr>
      <w:pBdr>
        <w:top w:val="single" w:color="auto" w:sz="4" w:space="0"/>
        <w:left w:val="single" w:color="auto" w:sz="4" w:space="0"/>
        <w:right w:val="single" w:color="auto" w:sz="4" w:space="0"/>
      </w:pBdr>
      <w:spacing w:before="100" w:beforeAutospacing="1" w:after="100" w:afterAutospacing="1"/>
      <w:textAlignment w:val="center"/>
    </w:pPr>
    <w:rPr>
      <w:sz w:val="20"/>
      <w:szCs w:val="20"/>
    </w:rPr>
  </w:style>
  <w:style w:type="paragraph" w:customStyle="1" w:styleId="2330">
    <w:name w:val="xl28730"/>
    <w:basedOn w:val="1"/>
    <w:uiPriority w:val="0"/>
    <w:pPr>
      <w:pBdr>
        <w:top w:val="single" w:color="auto" w:sz="4" w:space="0"/>
        <w:left w:val="single" w:color="auto" w:sz="4" w:space="0"/>
        <w:right w:val="single" w:color="auto" w:sz="4" w:space="0"/>
      </w:pBdr>
      <w:spacing w:before="100" w:beforeAutospacing="1" w:after="100" w:afterAutospacing="1"/>
      <w:textAlignment w:val="center"/>
    </w:pPr>
  </w:style>
  <w:style w:type="paragraph" w:customStyle="1" w:styleId="2331">
    <w:name w:val="xl28731"/>
    <w:basedOn w:val="1"/>
    <w:uiPriority w:val="0"/>
    <w:pPr>
      <w:pBdr>
        <w:top w:val="single" w:color="auto" w:sz="4" w:space="0"/>
        <w:left w:val="single" w:color="auto" w:sz="4" w:space="0"/>
        <w:right w:val="single" w:color="auto" w:sz="4" w:space="0"/>
      </w:pBdr>
      <w:spacing w:before="100" w:beforeAutospacing="1" w:after="100" w:afterAutospacing="1"/>
    </w:pPr>
  </w:style>
  <w:style w:type="paragraph" w:customStyle="1" w:styleId="2332">
    <w:name w:val="xl2873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3">
    <w:name w:val="xl2873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4">
    <w:name w:val="xl28734"/>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5">
    <w:name w:val="xl2873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6">
    <w:name w:val="xl2873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7">
    <w:name w:val="xl28737"/>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8">
    <w:name w:val="xl28738"/>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39">
    <w:name w:val="xl28739"/>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40">
    <w:name w:val="xl28740"/>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41">
    <w:name w:val="xl28741"/>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42">
    <w:name w:val="xl28742"/>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43">
    <w:name w:val="xl28743"/>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style>
  <w:style w:type="paragraph" w:customStyle="1" w:styleId="2344">
    <w:name w:val="xl28744"/>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345">
    <w:name w:val="xl28745"/>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2346">
    <w:name w:val="xl2874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47">
    <w:name w:val="xl2874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48">
    <w:name w:val="xl2874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49">
    <w:name w:val="xl2874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0">
    <w:name w:val="xl2875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1">
    <w:name w:val="xl2875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2">
    <w:name w:val="xl2875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3">
    <w:name w:val="xl2875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4">
    <w:name w:val="xl2875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5">
    <w:name w:val="xl28755"/>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6">
    <w:name w:val="xl2875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7">
    <w:name w:val="xl2875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8">
    <w:name w:val="xl2875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59">
    <w:name w:val="xl28759"/>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0">
    <w:name w:val="xl28760"/>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1">
    <w:name w:val="xl28761"/>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2">
    <w:name w:val="xl28762"/>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3">
    <w:name w:val="xl28763"/>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4">
    <w:name w:val="xl2876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5">
    <w:name w:val="xl287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6">
    <w:name w:val="xl287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367">
    <w:name w:val="xl287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68">
    <w:name w:val="xl287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2369">
    <w:name w:val="xl287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70">
    <w:name w:val="xl287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71">
    <w:name w:val="xl287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372">
    <w:name w:val="xl28772"/>
    <w:basedOn w:val="1"/>
    <w:uiPriority w:val="0"/>
    <w:pPr>
      <w:spacing w:before="100" w:beforeAutospacing="1" w:after="100" w:afterAutospacing="1"/>
      <w:jc w:val="center"/>
      <w:textAlignment w:val="center"/>
    </w:pPr>
  </w:style>
  <w:style w:type="paragraph" w:customStyle="1" w:styleId="2373">
    <w:name w:val="xl28773"/>
    <w:basedOn w:val="1"/>
    <w:uiPriority w:val="0"/>
    <w:pPr>
      <w:spacing w:before="100" w:beforeAutospacing="1" w:after="100" w:afterAutospacing="1"/>
      <w:textAlignment w:val="center"/>
    </w:pPr>
  </w:style>
  <w:style w:type="paragraph" w:customStyle="1" w:styleId="2374">
    <w:name w:val="xl28774"/>
    <w:basedOn w:val="1"/>
    <w:uiPriority w:val="0"/>
    <w:pPr>
      <w:spacing w:before="100" w:beforeAutospacing="1" w:after="100" w:afterAutospacing="1"/>
      <w:jc w:val="center"/>
      <w:textAlignment w:val="center"/>
    </w:pPr>
  </w:style>
  <w:style w:type="paragraph" w:customStyle="1" w:styleId="2375">
    <w:name w:val="xl28775"/>
    <w:basedOn w:val="1"/>
    <w:uiPriority w:val="0"/>
    <w:pPr>
      <w:spacing w:before="100" w:beforeAutospacing="1" w:after="100" w:afterAutospacing="1"/>
      <w:jc w:val="center"/>
      <w:textAlignment w:val="center"/>
    </w:pPr>
  </w:style>
  <w:style w:type="paragraph" w:customStyle="1" w:styleId="2376">
    <w:name w:val="xl287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377">
    <w:name w:val="xl2877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78">
    <w:name w:val="xl287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rPr>
  </w:style>
  <w:style w:type="paragraph" w:customStyle="1" w:styleId="2379">
    <w:name w:val="xl287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32"/>
      <w:szCs w:val="32"/>
    </w:rPr>
  </w:style>
  <w:style w:type="paragraph" w:customStyle="1" w:styleId="2380">
    <w:name w:val="xl28780"/>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rPr>
  </w:style>
  <w:style w:type="paragraph" w:customStyle="1" w:styleId="2381">
    <w:name w:val="xl28781"/>
    <w:basedOn w:val="1"/>
    <w:uiPriority w:val="0"/>
    <w:pPr>
      <w:pBdr>
        <w:top w:val="single" w:color="auto" w:sz="4" w:space="0"/>
        <w:bottom w:val="single" w:color="auto" w:sz="4" w:space="0"/>
      </w:pBdr>
      <w:spacing w:before="100" w:beforeAutospacing="1" w:after="100" w:afterAutospacing="1"/>
      <w:textAlignment w:val="center"/>
    </w:pPr>
  </w:style>
  <w:style w:type="paragraph" w:customStyle="1" w:styleId="2382">
    <w:name w:val="xl28782"/>
    <w:basedOn w:val="1"/>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383">
    <w:name w:val="xl28783"/>
    <w:basedOn w:val="1"/>
    <w:uiPriority w:val="0"/>
    <w:pPr>
      <w:pBdr>
        <w:top w:val="single" w:color="auto" w:sz="4" w:space="0"/>
        <w:bottom w:val="single" w:color="auto" w:sz="4" w:space="0"/>
      </w:pBdr>
      <w:spacing w:before="100" w:beforeAutospacing="1" w:after="100" w:afterAutospacing="1"/>
      <w:textAlignment w:val="center"/>
    </w:pPr>
  </w:style>
  <w:style w:type="paragraph" w:customStyle="1" w:styleId="2384">
    <w:name w:val="xl28784"/>
    <w:basedOn w:val="1"/>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385">
    <w:name w:val="xl28785"/>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w:hAnsi="Arial" w:cs="Arial"/>
      <w:sz w:val="20"/>
      <w:szCs w:val="20"/>
    </w:rPr>
  </w:style>
  <w:style w:type="paragraph" w:customStyle="1" w:styleId="2386">
    <w:name w:val="xl2878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87">
    <w:name w:val="xl2878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88">
    <w:name w:val="xl2878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color w:val="000000"/>
    </w:rPr>
  </w:style>
  <w:style w:type="paragraph" w:customStyle="1" w:styleId="2389">
    <w:name w:val="xl2878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90">
    <w:name w:val="xl287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91">
    <w:name w:val="xl2879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character" w:customStyle="1" w:styleId="2392">
    <w:name w:val="Font Style158"/>
    <w:uiPriority w:val="99"/>
    <w:rPr>
      <w:rFonts w:eastAsia="Times New Roman"/>
      <w:color w:val="auto"/>
      <w:sz w:val="26"/>
      <w:lang w:val="ru-RU" w:eastAsia="zh-CN"/>
    </w:rPr>
  </w:style>
  <w:style w:type="paragraph" w:customStyle="1" w:styleId="2393">
    <w:name w:val="formattexttopleveltext"/>
    <w:basedOn w:val="1"/>
    <w:uiPriority w:val="0"/>
    <w:pPr>
      <w:spacing w:before="100" w:beforeAutospacing="1" w:after="100" w:afterAutospacing="1"/>
    </w:pPr>
  </w:style>
  <w:style w:type="paragraph" w:customStyle="1" w:styleId="2394">
    <w:name w:val="Обычный + Междустр.интервал:  полуторный"/>
    <w:basedOn w:val="1"/>
    <w:uiPriority w:val="99"/>
    <w:pPr>
      <w:suppressAutoHyphens/>
      <w:spacing w:line="360" w:lineRule="auto"/>
    </w:pPr>
    <w:rPr>
      <w:lang w:eastAsia="ar-SA"/>
    </w:rPr>
  </w:style>
  <w:style w:type="paragraph" w:customStyle="1" w:styleId="2395">
    <w:name w:val="ТАБ 10-Заг."/>
    <w:basedOn w:val="1"/>
    <w:qFormat/>
    <w:uiPriority w:val="0"/>
    <w:pPr>
      <w:widowControl w:val="0"/>
      <w:ind w:left="-57" w:right="-57"/>
      <w:jc w:val="center"/>
    </w:pPr>
    <w:rPr>
      <w:b/>
      <w:sz w:val="20"/>
      <w:szCs w:val="26"/>
    </w:rPr>
  </w:style>
  <w:style w:type="character" w:customStyle="1" w:styleId="2396">
    <w:name w:val="tl8wme"/>
    <w:basedOn w:val="88"/>
    <w:uiPriority w:val="0"/>
  </w:style>
  <w:style w:type="paragraph" w:customStyle="1" w:styleId="2397">
    <w:name w:val="_Об_Таблица"/>
    <w:basedOn w:val="1"/>
    <w:link w:val="2398"/>
    <w:qFormat/>
    <w:uiPriority w:val="0"/>
    <w:pPr>
      <w:jc w:val="center"/>
    </w:pPr>
    <w:rPr>
      <w:rFonts w:eastAsia="Calibri"/>
      <w:iCs/>
      <w:sz w:val="22"/>
      <w:szCs w:val="26"/>
      <w:lang w:eastAsia="en-US"/>
    </w:rPr>
  </w:style>
  <w:style w:type="character" w:customStyle="1" w:styleId="2398">
    <w:name w:val="_Об_Таблица Знак"/>
    <w:basedOn w:val="88"/>
    <w:link w:val="2397"/>
    <w:uiPriority w:val="0"/>
    <w:rPr>
      <w:rFonts w:ascii="Times New Roman" w:hAnsi="Times New Roman" w:eastAsia="Calibri"/>
      <w:iCs/>
      <w:sz w:val="22"/>
      <w:szCs w:val="26"/>
      <w:lang w:eastAsia="en-US"/>
    </w:rPr>
  </w:style>
  <w:style w:type="character" w:customStyle="1" w:styleId="2399">
    <w:name w:val="il"/>
    <w:basedOn w:val="88"/>
    <w:uiPriority w:val="0"/>
  </w:style>
  <w:style w:type="paragraph" w:customStyle="1" w:styleId="2400">
    <w:name w:val="_Обычный"/>
    <w:basedOn w:val="1"/>
    <w:link w:val="2401"/>
    <w:qFormat/>
    <w:uiPriority w:val="99"/>
    <w:pPr>
      <w:spacing w:line="360" w:lineRule="auto"/>
      <w:ind w:firstLine="709"/>
      <w:jc w:val="both"/>
    </w:pPr>
    <w:rPr>
      <w:rFonts w:eastAsia="Calibri"/>
      <w:iCs/>
      <w:sz w:val="26"/>
      <w:szCs w:val="26"/>
      <w:lang w:eastAsia="en-US"/>
    </w:rPr>
  </w:style>
  <w:style w:type="character" w:customStyle="1" w:styleId="2401">
    <w:name w:val="_Обычный Знак"/>
    <w:basedOn w:val="88"/>
    <w:link w:val="2400"/>
    <w:uiPriority w:val="99"/>
    <w:rPr>
      <w:rFonts w:ascii="Times New Roman" w:hAnsi="Times New Roman" w:eastAsia="Calibri"/>
      <w:iCs/>
      <w:sz w:val="26"/>
      <w:szCs w:val="26"/>
      <w:lang w:eastAsia="en-US"/>
    </w:rPr>
  </w:style>
  <w:style w:type="paragraph" w:customStyle="1" w:styleId="2402">
    <w:name w:val="Text Body"/>
    <w:basedOn w:val="1"/>
    <w:uiPriority w:val="99"/>
    <w:pPr>
      <w:suppressAutoHyphens/>
      <w:spacing w:after="120"/>
    </w:pPr>
    <w:rPr>
      <w:lang w:eastAsia="zh-CN"/>
    </w:rPr>
  </w:style>
  <w:style w:type="paragraph" w:customStyle="1" w:styleId="2403">
    <w:name w:val="Маркированный"/>
    <w:basedOn w:val="1"/>
    <w:next w:val="1"/>
    <w:uiPriority w:val="0"/>
    <w:pPr>
      <w:tabs>
        <w:tab w:val="left" w:pos="360"/>
      </w:tabs>
      <w:ind w:firstLine="357"/>
      <w:jc w:val="both"/>
    </w:pPr>
    <w:rPr>
      <w:rFonts w:ascii="Arial" w:hAnsi="Arial" w:eastAsia="MS Mincho"/>
      <w:szCs w:val="20"/>
      <w:lang w:eastAsia="ja-JP"/>
    </w:rPr>
  </w:style>
  <w:style w:type="paragraph" w:customStyle="1" w:styleId="2404">
    <w:name w:val="_Таблица 1.1.1.1.1"/>
    <w:basedOn w:val="1"/>
    <w:qFormat/>
    <w:uiPriority w:val="0"/>
    <w:pPr>
      <w:spacing w:before="240" w:after="120"/>
      <w:ind w:left="930" w:right="282" w:hanging="363"/>
      <w:contextualSpacing/>
      <w:jc w:val="both"/>
    </w:pPr>
    <w:rPr>
      <w:rFonts w:eastAsia="Calibri"/>
      <w:iCs/>
      <w:sz w:val="26"/>
      <w:szCs w:val="26"/>
      <w:lang w:eastAsia="en-US"/>
    </w:rPr>
  </w:style>
  <w:style w:type="paragraph" w:customStyle="1" w:styleId="2405">
    <w:name w:val="Table Paragraph"/>
    <w:basedOn w:val="1"/>
    <w:qFormat/>
    <w:uiPriority w:val="1"/>
    <w:pPr>
      <w:widowControl w:val="0"/>
    </w:pPr>
  </w:style>
  <w:style w:type="character" w:customStyle="1" w:styleId="2406">
    <w:name w:val="w"/>
    <w:basedOn w:val="88"/>
    <w:uiPriority w:val="0"/>
  </w:style>
  <w:style w:type="paragraph" w:customStyle="1" w:styleId="2407">
    <w:name w:val="List2"/>
    <w:basedOn w:val="1"/>
    <w:uiPriority w:val="99"/>
    <w:pPr>
      <w:numPr>
        <w:ilvl w:val="0"/>
        <w:numId w:val="28"/>
      </w:numPr>
      <w:tabs>
        <w:tab w:val="left" w:pos="1701"/>
      </w:tabs>
      <w:spacing w:before="60" w:line="276" w:lineRule="auto"/>
      <w:jc w:val="both"/>
    </w:pPr>
    <w:rPr>
      <w:szCs w:val="20"/>
    </w:rPr>
  </w:style>
  <w:style w:type="paragraph" w:customStyle="1" w:styleId="2408">
    <w:name w:val="TitleProject"/>
    <w:basedOn w:val="1"/>
    <w:uiPriority w:val="99"/>
    <w:pPr>
      <w:spacing w:before="60"/>
      <w:ind w:left="142" w:firstLine="709"/>
      <w:jc w:val="center"/>
    </w:pPr>
    <w:rPr>
      <w:b/>
      <w:sz w:val="32"/>
      <w:szCs w:val="20"/>
    </w:rPr>
  </w:style>
  <w:style w:type="paragraph" w:customStyle="1" w:styleId="2409">
    <w:name w:val="Maximyz Обычный"/>
    <w:basedOn w:val="1"/>
    <w:qFormat/>
    <w:uiPriority w:val="0"/>
    <w:pPr>
      <w:spacing w:line="360" w:lineRule="auto"/>
      <w:ind w:firstLine="709"/>
      <w:jc w:val="both"/>
    </w:pPr>
    <w:rPr>
      <w:rFonts w:eastAsia="Calibri"/>
      <w:szCs w:val="20"/>
    </w:rPr>
  </w:style>
  <w:style w:type="paragraph" w:customStyle="1" w:styleId="2410">
    <w:name w:val="ОснТекст"/>
    <w:basedOn w:val="1"/>
    <w:link w:val="2411"/>
    <w:uiPriority w:val="0"/>
    <w:pPr>
      <w:spacing w:after="200" w:line="276" w:lineRule="auto"/>
      <w:ind w:firstLine="540"/>
      <w:jc w:val="both"/>
    </w:pPr>
  </w:style>
  <w:style w:type="character" w:customStyle="1" w:styleId="2411">
    <w:name w:val="ОснТекст Знак"/>
    <w:link w:val="2410"/>
    <w:uiPriority w:val="0"/>
    <w:rPr>
      <w:rFonts w:ascii="Times New Roman" w:hAnsi="Times New Roman" w:eastAsia="Times New Roman"/>
      <w:sz w:val="24"/>
      <w:szCs w:val="24"/>
    </w:rPr>
  </w:style>
  <w:style w:type="paragraph" w:customStyle="1" w:styleId="2412">
    <w:name w:val="msonormal"/>
    <w:basedOn w:val="1"/>
    <w:uiPriority w:val="0"/>
    <w:pPr>
      <w:spacing w:before="100" w:beforeAutospacing="1" w:after="100" w:afterAutospacing="1"/>
    </w:pPr>
  </w:style>
  <w:style w:type="table" w:customStyle="1" w:styleId="2413">
    <w:name w:val="Table Normal"/>
    <w:semiHidden/>
    <w:unhideWhenUsed/>
    <w:qFormat/>
    <w:uiPriority w:val="2"/>
    <w:pPr>
      <w:widowControl w:val="0"/>
    </w:pPr>
    <w:rPr>
      <w:sz w:val="22"/>
      <w:szCs w:val="22"/>
      <w:lang w:val="en-US" w:eastAsia="en-US"/>
    </w:rPr>
    <w:tblPr>
      <w:tblLayout w:type="fixed"/>
      <w:tblCellMar>
        <w:top w:w="0" w:type="dxa"/>
        <w:left w:w="0" w:type="dxa"/>
        <w:bottom w:w="0" w:type="dxa"/>
        <w:right w:w="0" w:type="dxa"/>
      </w:tblCellMar>
    </w:tblPr>
  </w:style>
  <w:style w:type="table" w:customStyle="1" w:styleId="2414">
    <w:name w:val="Table Normal1"/>
    <w:semiHidden/>
    <w:unhideWhenUsed/>
    <w:qFormat/>
    <w:uiPriority w:val="2"/>
    <w:pPr>
      <w:widowControl w:val="0"/>
    </w:pPr>
    <w:rPr>
      <w:sz w:val="22"/>
      <w:szCs w:val="22"/>
      <w:lang w:val="en-US" w:eastAsia="en-US"/>
    </w:rPr>
    <w:tblPr>
      <w:tblLayout w:type="fixed"/>
      <w:tblCellMar>
        <w:top w:w="0" w:type="dxa"/>
        <w:left w:w="0" w:type="dxa"/>
        <w:bottom w:w="0" w:type="dxa"/>
        <w:right w:w="0" w:type="dxa"/>
      </w:tblCellMar>
    </w:tblPr>
  </w:style>
  <w:style w:type="paragraph" w:customStyle="1" w:styleId="2415">
    <w:name w:val="Style16"/>
    <w:basedOn w:val="1"/>
    <w:uiPriority w:val="0"/>
    <w:pPr>
      <w:widowControl w:val="0"/>
      <w:suppressAutoHyphens/>
      <w:autoSpaceDE w:val="0"/>
      <w:autoSpaceDN w:val="0"/>
      <w:textAlignment w:val="baseline"/>
    </w:pPr>
    <w:rPr>
      <w:rFonts w:eastAsia="Arial Unicode MS"/>
      <w:kern w:val="3"/>
      <w:lang w:eastAsia="zh-CN" w:bidi="hi-IN"/>
    </w:rPr>
  </w:style>
  <w:style w:type="character" w:customStyle="1" w:styleId="2416">
    <w:name w:val="Font Style163"/>
    <w:uiPriority w:val="0"/>
    <w:rPr>
      <w:rFonts w:ascii="Times New Roman" w:hAnsi="Times New Roman"/>
      <w:sz w:val="18"/>
      <w:lang w:val="ru-RU" w:eastAsia="zh-CN"/>
    </w:rPr>
  </w:style>
  <w:style w:type="paragraph" w:customStyle="1" w:styleId="2417">
    <w:name w:val="formattext"/>
    <w:basedOn w:val="1"/>
    <w:uiPriority w:val="0"/>
    <w:pPr>
      <w:spacing w:before="100" w:beforeAutospacing="1" w:after="100" w:afterAutospacing="1"/>
    </w:pPr>
  </w:style>
  <w:style w:type="paragraph" w:customStyle="1" w:styleId="2418">
    <w:name w:val="мой 1"/>
    <w:basedOn w:val="469"/>
    <w:qFormat/>
    <w:uiPriority w:val="0"/>
    <w:pPr>
      <w:suppressAutoHyphens w:val="0"/>
      <w:ind w:firstLine="0"/>
      <w:jc w:val="both"/>
    </w:pPr>
    <w:rPr>
      <w:rFonts w:ascii="Times New Roman" w:hAnsi="Times New Roman" w:eastAsiaTheme="minorEastAsia"/>
      <w:b/>
      <w:sz w:val="28"/>
      <w:szCs w:val="28"/>
      <w:lang w:eastAsia="en-US" w:bidi="en-US"/>
    </w:rPr>
  </w:style>
  <w:style w:type="paragraph" w:customStyle="1" w:styleId="2419">
    <w:name w:val="КАТ_обычный"/>
    <w:basedOn w:val="1"/>
    <w:qFormat/>
    <w:uiPriority w:val="0"/>
    <w:pPr>
      <w:spacing w:before="60" w:after="60" w:line="276" w:lineRule="auto"/>
    </w:pPr>
    <w:rPr>
      <w:szCs w:val="22"/>
    </w:rPr>
  </w:style>
  <w:style w:type="paragraph" w:customStyle="1" w:styleId="2420">
    <w:name w:val="Заголовок"/>
    <w:basedOn w:val="1"/>
    <w:next w:val="1"/>
    <w:qFormat/>
    <w:uiPriority w:val="0"/>
    <w:pPr>
      <w:keepNext/>
      <w:suppressAutoHyphens/>
      <w:spacing w:before="240" w:after="120"/>
      <w:ind w:firstLine="709"/>
      <w:jc w:val="both"/>
    </w:pPr>
    <w:rPr>
      <w:rFonts w:ascii="Helvetica" w:hAnsi="Helvetica" w:eastAsia="HG Mincho Light J" w:cs="Lucidasans"/>
      <w:sz w:val="28"/>
      <w:szCs w:val="28"/>
      <w:lang w:eastAsia="ar-SA"/>
    </w:rPr>
  </w:style>
  <w:style w:type="paragraph" w:customStyle="1" w:styleId="2421">
    <w:name w:val="#ПЕРЕЧЕНЬ ур 1"/>
    <w:basedOn w:val="1"/>
    <w:qFormat/>
    <w:uiPriority w:val="0"/>
    <w:pPr>
      <w:numPr>
        <w:ilvl w:val="0"/>
        <w:numId w:val="29"/>
      </w:numPr>
      <w:tabs>
        <w:tab w:val="left" w:pos="709"/>
        <w:tab w:val="clear" w:pos="1789"/>
      </w:tabs>
      <w:spacing w:line="288" w:lineRule="auto"/>
      <w:ind w:left="709" w:hanging="357"/>
      <w:jc w:val="both"/>
    </w:pPr>
  </w:style>
  <w:style w:type="paragraph" w:customStyle="1" w:styleId="2422">
    <w:name w:val="rtejustify"/>
    <w:basedOn w:val="1"/>
    <w:uiPriority w:val="0"/>
    <w:pPr>
      <w:spacing w:after="324"/>
      <w:jc w:val="both"/>
    </w:pPr>
  </w:style>
  <w:style w:type="character" w:customStyle="1" w:styleId="2423">
    <w:name w:val="Body Text Indent 3 Знак"/>
    <w:basedOn w:val="88"/>
    <w:link w:val="249"/>
    <w:uiPriority w:val="0"/>
    <w:rPr>
      <w:rFonts w:ascii="Arial" w:hAnsi="Arial" w:eastAsia="Times New Roman"/>
      <w:kern w:val="1"/>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5761F-13C7-4B94-B980-EC57C15EECA4}">
  <ds:schemaRefs/>
</ds:datastoreItem>
</file>

<file path=customXml/itemProps3.xml><?xml version="1.0" encoding="utf-8"?>
<ds:datastoreItem xmlns:ds="http://schemas.openxmlformats.org/officeDocument/2006/customXml" ds:itemID="{D5CEA43A-9425-4900-B51F-6692096EAE2F}">
  <ds:schemaRefs/>
</ds:datastoreItem>
</file>

<file path=customXml/itemProps4.xml><?xml version="1.0" encoding="utf-8"?>
<ds:datastoreItem xmlns:ds="http://schemas.openxmlformats.org/officeDocument/2006/customXml" ds:itemID="{116C4959-CA10-42AE-8DDE-B0A7C510015A}">
  <ds:schemaRefs/>
</ds:datastoreItem>
</file>

<file path=customXml/itemProps5.xml><?xml version="1.0" encoding="utf-8"?>
<ds:datastoreItem xmlns:ds="http://schemas.openxmlformats.org/officeDocument/2006/customXml" ds:itemID="{914DBED1-7DC1-459A-AAC7-3EB40D9C4B4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167</Pages>
  <Words>38984</Words>
  <Characters>222209</Characters>
  <Lines>1851</Lines>
  <Paragraphs>521</Paragraphs>
  <TotalTime>122</TotalTime>
  <ScaleCrop>false</ScaleCrop>
  <LinksUpToDate>false</LinksUpToDate>
  <CharactersWithSpaces>260672</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2019-09-11T13:18:00Z</dcterms:created>
  <dc:creator>Олег Лебедев</dc:creator>
  <cp:lastModifiedBy>Наталья</cp:lastModifiedBy>
  <cp:lastPrinted>2019-09-11T17:41:00Z</cp:lastPrinted>
  <dcterms:modified xsi:type="dcterms:W3CDTF">2019-10-11T10:40:39Z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